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02739" Type="http://schemas.openxmlformats.org/officeDocument/2006/relationships/officeDocument" Target="/word/document.xml" /><Relationship Id="coreR28702739" Type="http://schemas.openxmlformats.org/package/2006/relationships/metadata/core-properties" Target="/docProps/core.xml" /><Relationship Id="customR287027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Betonování konstrukcí z vláknobetonu a drátkobetonu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betonářské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https://nsp.cz/jednotka-prace/betonar-ee11#zdravotni-zpusobilost).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sledováno: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