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5D5C05" Type="http://schemas.openxmlformats.org/officeDocument/2006/relationships/officeDocument" Target="/word/document.xml" /><Relationship Id="coreR295D5C05" Type="http://schemas.openxmlformats.org/package/2006/relationships/metadata/core-properties" Target="/docProps/core.xml" /><Relationship Id="customR295D5C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bez fumigantů, 16.6.2026 5:12:59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16.6.2026 5:12:59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16.6.2026 5:12:59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Písemné a ústní ověření</w:t>
      </w:r>
    </w:p>
    <w:p>
      <w:pPr>
        <w:pStyle w:val="P16"/>
        <w:framePr w:w="6710" w:h="1055" w:hRule="exact" w:wrap="none" w:vAnchor="page" w:hAnchor="margin" w:x="45" w:y="4043"/>
        <w:rPr>
          <w:rStyle w:val="C3"/>
          <w:rtl w:val="0"/>
        </w:rPr>
      </w:pPr>
    </w:p>
    <w:p>
      <w:pPr>
        <w:pStyle w:val="P17"/>
        <w:framePr w:w="6658" w:h="928" w:hRule="exact" w:wrap="none" w:vAnchor="page" w:hAnchor="margin" w:x="71" w:y="4099"/>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stanovenou zákonem o rostlinolékařské péči v platném znění</w:t>
      </w:r>
    </w:p>
    <w:p>
      <w:pPr>
        <w:pStyle w:val="P30"/>
        <w:framePr w:w="3921" w:h="1055" w:hRule="exact" w:wrap="none" w:vAnchor="page" w:hAnchor="margin" w:x="6800" w:y="4043"/>
        <w:rPr>
          <w:rStyle w:val="C3"/>
          <w:rtl w:val="0"/>
        </w:rPr>
      </w:pPr>
    </w:p>
    <w:p>
      <w:pPr>
        <w:pStyle w:val="P31"/>
        <w:framePr w:w="3839" w:h="928" w:hRule="exact" w:wrap="none" w:vAnchor="page" w:hAnchor="margin" w:x="6856" w:y="4099"/>
        <w:rPr>
          <w:rStyle w:val="C22"/>
          <w:rtl w:val="0"/>
        </w:rPr>
      </w:pPr>
      <w:r>
        <w:rPr>
          <w:rStyle w:val="C22"/>
          <w:rtl w:val="0"/>
        </w:rPr>
        <w:t>Písemné a ústní ověření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Písemné a ústní ověření</w:t>
      </w:r>
    </w:p>
    <w:p>
      <w:pPr>
        <w:pStyle w:val="P16"/>
        <w:framePr w:w="6710" w:h="376" w:hRule="exact" w:wrap="none" w:vAnchor="page" w:hAnchor="margin" w:x="45" w:y="5705"/>
        <w:rPr>
          <w:rStyle w:val="C3"/>
          <w:rtl w:val="0"/>
        </w:rPr>
      </w:pPr>
    </w:p>
    <w:p>
      <w:pPr>
        <w:pStyle w:val="P17"/>
        <w:framePr w:w="6658" w:h="249" w:hRule="exact" w:wrap="none" w:vAnchor="page" w:hAnchor="margin" w:x="71" w:y="5761"/>
        <w:rPr>
          <w:rStyle w:val="C13"/>
          <w:rtl w:val="0"/>
        </w:rPr>
      </w:pPr>
      <w:r>
        <w:rPr>
          <w:rStyle w:val="C13"/>
          <w:rtl w:val="0"/>
        </w:rPr>
        <w:t>d) Vysvětlit dodržování zásad bezpečnosti a ochrany zdraví při práci</w:t>
      </w:r>
    </w:p>
    <w:p>
      <w:pPr>
        <w:pStyle w:val="P30"/>
        <w:framePr w:w="3921" w:h="376" w:hRule="exact" w:wrap="none" w:vAnchor="page" w:hAnchor="margin" w:x="6800" w:y="5705"/>
        <w:rPr>
          <w:rStyle w:val="C3"/>
          <w:rtl w:val="0"/>
        </w:rPr>
      </w:pPr>
    </w:p>
    <w:p>
      <w:pPr>
        <w:pStyle w:val="P31"/>
        <w:framePr w:w="3839" w:h="249" w:hRule="exact" w:wrap="none" w:vAnchor="page" w:hAnchor="margin" w:x="6856" w:y="5761"/>
        <w:rPr>
          <w:rStyle w:val="C22"/>
          <w:rtl w:val="0"/>
        </w:rPr>
      </w:pPr>
      <w:r>
        <w:rPr>
          <w:rStyle w:val="C22"/>
          <w:rtl w:val="0"/>
        </w:rPr>
        <w:t>Písemné a ústní ověření</w:t>
      </w:r>
    </w:p>
    <w:p>
      <w:pPr>
        <w:pStyle w:val="P32"/>
        <w:framePr w:w="10710" w:h="248" w:hRule="exact" w:wrap="none" w:vAnchor="page" w:hAnchor="margin" w:x="28" w:y="6194"/>
        <w:rPr>
          <w:rStyle w:val="C23"/>
          <w:rtl w:val="0"/>
        </w:rPr>
      </w:pPr>
      <w:r>
        <w:rPr>
          <w:rStyle w:val="C23"/>
          <w:rtl w:val="0"/>
        </w:rPr>
        <w:t>Je třeba splnit všechna kritéria.</w:t>
      </w:r>
    </w:p>
    <w:p>
      <w:pPr>
        <w:pStyle w:val="P23"/>
        <w:framePr w:w="10710" w:h="340" w:hRule="exact" w:wrap="none" w:vAnchor="page" w:hAnchor="margin" w:x="28" w:y="6630"/>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7069"/>
        <w:rPr>
          <w:rStyle w:val="C3"/>
          <w:rtl w:val="0"/>
        </w:rPr>
      </w:pPr>
    </w:p>
    <w:p>
      <w:pPr>
        <w:pStyle w:val="P25"/>
        <w:framePr w:w="6661" w:h="249" w:hRule="exact" w:wrap="none" w:vAnchor="page" w:hAnchor="margin" w:x="71" w:y="7140"/>
        <w:rPr>
          <w:rStyle w:val="C19"/>
          <w:rtl w:val="0"/>
        </w:rPr>
      </w:pPr>
      <w:r>
        <w:rPr>
          <w:rStyle w:val="C19"/>
          <w:rtl w:val="0"/>
        </w:rPr>
        <w:t>Kritéria hodnocení</w:t>
      </w:r>
    </w:p>
    <w:p>
      <w:pPr>
        <w:pStyle w:val="P26"/>
        <w:framePr w:w="3918" w:h="376" w:hRule="exact" w:wrap="none" w:vAnchor="page" w:hAnchor="margin" w:x="6803" w:y="7069"/>
        <w:rPr>
          <w:rStyle w:val="C3"/>
          <w:rtl w:val="0"/>
        </w:rPr>
      </w:pPr>
    </w:p>
    <w:p>
      <w:pPr>
        <w:pStyle w:val="P27"/>
        <w:framePr w:w="3836" w:h="249" w:hRule="exact" w:wrap="none" w:vAnchor="page" w:hAnchor="margin" w:x="6859" w:y="7140"/>
        <w:rPr>
          <w:rStyle w:val="C20"/>
          <w:rtl w:val="0"/>
        </w:rPr>
      </w:pPr>
      <w:r>
        <w:rPr>
          <w:rStyle w:val="C20"/>
          <w:rtl w:val="0"/>
        </w:rPr>
        <w:t>Způsoby ověření</w:t>
      </w:r>
    </w:p>
    <w:p>
      <w:pPr>
        <w:pStyle w:val="P12"/>
        <w:framePr w:w="6710" w:h="607" w:hRule="exact" w:wrap="none" w:vAnchor="page" w:hAnchor="margin" w:x="45" w:y="7446"/>
        <w:rPr>
          <w:rStyle w:val="C3"/>
          <w:rtl w:val="0"/>
        </w:rPr>
      </w:pPr>
    </w:p>
    <w:p>
      <w:pPr>
        <w:pStyle w:val="P13"/>
        <w:framePr w:w="6658" w:h="480" w:hRule="exact" w:wrap="none" w:vAnchor="page" w:hAnchor="margin" w:x="71" w:y="7502"/>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7446"/>
        <w:rPr>
          <w:rStyle w:val="C3"/>
          <w:rtl w:val="0"/>
        </w:rPr>
      </w:pPr>
    </w:p>
    <w:p>
      <w:pPr>
        <w:pStyle w:val="P29"/>
        <w:framePr w:w="3839" w:h="480" w:hRule="exact" w:wrap="none" w:vAnchor="page" w:hAnchor="margin" w:x="6856" w:y="7502"/>
        <w:rPr>
          <w:rStyle w:val="C21"/>
          <w:rtl w:val="0"/>
        </w:rPr>
      </w:pPr>
      <w:r>
        <w:rPr>
          <w:rStyle w:val="C21"/>
          <w:rtl w:val="0"/>
        </w:rPr>
        <w:t>Písemné a ústní ověření</w:t>
      </w:r>
    </w:p>
    <w:p>
      <w:pPr>
        <w:pStyle w:val="P32"/>
        <w:framePr w:w="10710" w:h="248" w:hRule="exact" w:wrap="none" w:vAnchor="page" w:hAnchor="margin" w:x="28" w:y="81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Asanační pracovník bez fumigantů, 16.6.2026 5:12:59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103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bez fumigantů, 16.6.2026 5:12:59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5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2768"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bez fumigantů, 16.6.2026 5:12:59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bez fumigantů, 16.6.2026 5:12:59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