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DE07C68" Type="http://schemas.openxmlformats.org/officeDocument/2006/relationships/officeDocument" Target="/word/document.xml" /><Relationship Id="coreRDE07C68" Type="http://schemas.openxmlformats.org/package/2006/relationships/metadata/core-properties" Target="/docProps/core.xml" /><Relationship Id="customRDE07C6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Asanační pracovník s fumiganty (kód: 69-028-H)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Asanační pracovník s fumiganty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bionomii a rozmnožování škodlivých a epidemiologicky a epizootologicky významných členovců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bionomii a rozmnožování škodlivých a epidemiologicky a epizootologicky významných obratlovců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Hubení a potlačování výskytu synantropních členovců bez použití biocidních a pesticidních přípravků klasifikovaných jako toxické a vysoce toxické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Hubení a potlačování výskytu synantropních hlodavců a dalších obratlovců bez použití biocidních a pesticidních přípravků klasifikovaných jako toxické či vysoce toxické</w:t>
      </w:r>
    </w:p>
    <w:p>
      <w:pPr>
        <w:pStyle w:val="P18"/>
        <w:framePr w:w="805" w:h="607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Zabezpečení stavebních konstrukcí a dřeva před škodlivými biotickými činiteli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Zabezpečení budov před ptactvem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Ničení plevelných, zplanělých či náletových rostlin na pozemcích nezemědělského charakteru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Orientace v zákonech, nařízeních a metodikách, které se vztahují k potlačování škůdců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Orientace v biologii škůdců ve vztahu ke smrtícímu účinku fumigantů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46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523"/>
        <w:rPr>
          <w:rStyle w:val="C13"/>
          <w:rtl w:val="0"/>
        </w:rPr>
      </w:pPr>
      <w:r>
        <w:rPr>
          <w:rStyle w:val="C13"/>
          <w:rtl w:val="0"/>
        </w:rPr>
        <w:t>Příprava a organizace fumigace, hermetizace (utěsnění) a její kontrola</w:t>
      </w:r>
    </w:p>
    <w:p>
      <w:pPr>
        <w:pStyle w:val="P18"/>
        <w:framePr w:w="805" w:h="376" w:hRule="exact" w:wrap="none" w:vAnchor="page" w:hAnchor="margin" w:x="9916" w:y="946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523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84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899"/>
        <w:rPr>
          <w:rStyle w:val="C11"/>
          <w:rtl w:val="0"/>
        </w:rPr>
      </w:pPr>
      <w:r>
        <w:rPr>
          <w:rStyle w:val="C11"/>
          <w:rtl w:val="0"/>
        </w:rPr>
        <w:t>Zajištění ochrany zdraví a životního prostředí při fumigaci</w:t>
      </w:r>
    </w:p>
    <w:p>
      <w:pPr>
        <w:pStyle w:val="P14"/>
        <w:framePr w:w="805" w:h="376" w:hRule="exact" w:wrap="none" w:vAnchor="page" w:hAnchor="margin" w:x="9916" w:y="984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89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21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275"/>
        <w:rPr>
          <w:rStyle w:val="C13"/>
          <w:rtl w:val="0"/>
        </w:rPr>
      </w:pPr>
      <w:r>
        <w:rPr>
          <w:rStyle w:val="C13"/>
          <w:rtl w:val="0"/>
        </w:rPr>
        <w:t>Provádění fumigace kyanovodíkem</w:t>
      </w:r>
    </w:p>
    <w:p>
      <w:pPr>
        <w:pStyle w:val="P18"/>
        <w:framePr w:w="805" w:h="376" w:hRule="exact" w:wrap="none" w:vAnchor="page" w:hAnchor="margin" w:x="9916" w:y="1021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27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59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652"/>
        <w:rPr>
          <w:rStyle w:val="C11"/>
          <w:rtl w:val="0"/>
        </w:rPr>
      </w:pPr>
      <w:r>
        <w:rPr>
          <w:rStyle w:val="C11"/>
          <w:rtl w:val="0"/>
        </w:rPr>
        <w:t>Provádění fumigace fosforovodíkem</w:t>
      </w:r>
    </w:p>
    <w:p>
      <w:pPr>
        <w:pStyle w:val="P14"/>
        <w:framePr w:w="805" w:h="376" w:hRule="exact" w:wrap="none" w:vAnchor="page" w:hAnchor="margin" w:x="9916" w:y="1059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65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97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028"/>
        <w:rPr>
          <w:rStyle w:val="C13"/>
          <w:rtl w:val="0"/>
        </w:rPr>
      </w:pPr>
      <w:r>
        <w:rPr>
          <w:rStyle w:val="C13"/>
          <w:rtl w:val="0"/>
        </w:rPr>
        <w:t>Provádění fumigace sulfurylfluoridem</w:t>
      </w:r>
    </w:p>
    <w:p>
      <w:pPr>
        <w:pStyle w:val="P18"/>
        <w:framePr w:w="805" w:h="376" w:hRule="exact" w:wrap="none" w:vAnchor="page" w:hAnchor="margin" w:x="9916" w:y="1097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02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34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404"/>
        <w:rPr>
          <w:rStyle w:val="C11"/>
          <w:rtl w:val="0"/>
        </w:rPr>
      </w:pPr>
      <w:r>
        <w:rPr>
          <w:rStyle w:val="C11"/>
          <w:rtl w:val="0"/>
        </w:rPr>
        <w:t>Používání metod řízených atmosfér</w:t>
      </w:r>
    </w:p>
    <w:p>
      <w:pPr>
        <w:pStyle w:val="P14"/>
        <w:framePr w:w="805" w:h="376" w:hRule="exact" w:wrap="none" w:vAnchor="page" w:hAnchor="margin" w:x="9916" w:y="1134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40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19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2291"/>
        <w:rPr>
          <w:rStyle w:val="C15"/>
          <w:rtl w:val="0"/>
        </w:rPr>
      </w:pPr>
      <w:r>
        <w:rPr>
          <w:rStyle w:val="C15"/>
          <w:rtl w:val="0"/>
        </w:rPr>
        <w:t>Standard je platný od: 05.09.2018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Asanační pracovník s fumiganty, 11.9.2026 20:48:04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01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3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3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NSP - https://www.nsp.cz/jednotka-prace/asanacni-pracovnik-s-fumi#zdravotni-zpusobilost).</w:t>
      </w:r>
    </w:p>
    <w:p>
      <w:pPr>
        <w:keepNext w:val="0"/>
        <w:keepLines w:val="0"/>
        <w:framePr w:w="10766" w:h="73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Všechna kritéria, u kterých je uvedeno písemné ověření (celkem 38), jsou ověřována testem.</w:t>
      </w:r>
    </w:p>
    <w:p>
      <w:pPr>
        <w:keepNext w:val="0"/>
        <w:keepLines w:val="0"/>
        <w:framePr w:w="10766" w:h="73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Pravidla pro aplikaci testů jako způsobu ověřování profesní kvalifikace</w:t>
      </w:r>
    </w:p>
    <w:p>
      <w:pPr>
        <w:keepNext w:val="0"/>
        <w:keepLines w:val="0"/>
        <w:framePr w:w="10766" w:h="73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testy stanovuje autorizovaná osoba podle požadavků hodnoticího standardu. Musí přitom splňovat následující pravidla:</w:t>
      </w:r>
    </w:p>
    <w:p>
      <w:pPr>
        <w:keepNext w:val="0"/>
        <w:keepLines w:val="0"/>
        <w:framePr w:w="10766" w:h="73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A. Testy pro jednotlivé uchazeče musí být generovány z dostatečně velkého souboru otázek, aby bylo umožněno řádově několik desítek různě sestavených testů.</w:t>
      </w:r>
    </w:p>
    <w:p>
      <w:pPr>
        <w:keepNext w:val="0"/>
        <w:keepLines w:val="0"/>
        <w:framePr w:w="10766" w:h="73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B. Při každé zkoušce musí být ověřeny všechny kompetence kvalifikačního standardu. To znamená, že v případě, kdy se některé kompetence nebo kritéria ověřují pomocí testů, musí být splněné následující podmínky:</w:t>
      </w:r>
    </w:p>
    <w:p>
      <w:pPr>
        <w:keepNext w:val="0"/>
        <w:keepLines w:val="0"/>
        <w:framePr w:w="10766" w:h="73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B1. Pro celkový soubor otázek, z něhož se generují jednotlivé testy: </w:t>
      </w:r>
    </w:p>
    <w:p>
      <w:pPr>
        <w:keepNext w:val="0"/>
        <w:keepLines w:val="0"/>
        <w:framePr w:w="10766" w:h="73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každé kritérium existuje několik otázek. </w:t>
      </w:r>
    </w:p>
    <w:p>
      <w:pPr>
        <w:keepNext w:val="0"/>
        <w:keepLines w:val="0"/>
        <w:framePr w:w="10766" w:h="73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B2. Pro jednotlivé vygenerované testy: </w:t>
      </w:r>
    </w:p>
    <w:p>
      <w:pPr>
        <w:keepNext w:val="0"/>
        <w:keepLines w:val="0"/>
        <w:framePr w:w="10766" w:h="73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má ve svém testu pro každé kritérium (u něhož je test způsobem ověření a v návaznosti na pokyn o tom, která kritéria je třeba u zkoušky splnit) alespoň jednu otázku.</w:t>
      </w:r>
    </w:p>
    <w:p>
      <w:pPr>
        <w:keepNext w:val="0"/>
        <w:keepLines w:val="0"/>
        <w:framePr w:w="10766" w:h="73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zajistí vygenerování náhodného testu pro každého uchazeče sestaveného ze 38 otázek. Testové otázky budou uzavřené, sestavené ze tří odpovědí, z nichž jedna je správná. Všechny otázky jsou bodově rovnocenné. </w:t>
      </w:r>
    </w:p>
    <w:p>
      <w:pPr>
        <w:keepNext w:val="0"/>
        <w:keepLines w:val="0"/>
        <w:framePr w:w="10766" w:h="73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B3. Pro úspěšné splnění požadavků testu: </w:t>
      </w:r>
    </w:p>
    <w:p>
      <w:pPr>
        <w:keepNext w:val="0"/>
        <w:keepLines w:val="0"/>
        <w:framePr w:w="10766" w:h="73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 úspěšné splnění testu se považuje 70 % správně zodpovězených otázek s tím, že pro každé kritérium musí být správně zodpovězeno alespoň 50 % otázek.</w:t>
      </w:r>
    </w:p>
    <w:p>
      <w:pPr>
        <w:keepNext w:val="0"/>
        <w:keepLines w:val="0"/>
        <w:framePr w:w="10766" w:h="73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ústním ověřování se uchazeč verbálně vyjadřuje k zadané otázce či tématu nebo vysvětluje své postupy či obhajuje svá řešení. Hodnotí se správnost tohoto ústního projevu ve vztahu k příslušným kritériím hodnocení.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Asanační pracovník s fumiganty, 11.9.2026 20:48:04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osobní služby,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Sdružení DDD, z. s., Novotného lávka 5, Praha 1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DDD Servis, spol. s r. o., Libušská 104/303, Praha 4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ASANA, spol. s r. o., Dubičné 21, Rudolfov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Asanační pracovník s fumiganty, 11.9.2026 20:48:04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