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14F032" Type="http://schemas.openxmlformats.org/officeDocument/2006/relationships/officeDocument" Target="/word/document.xml" /><Relationship Id="coreR2714F032" Type="http://schemas.openxmlformats.org/package/2006/relationships/metadata/core-properties" Target="/docProps/core.xml" /><Relationship Id="customR2714F0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Hutník/hutnice v recyklaci neželezných kovů (kód: 21-024-H)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postupech a prostředcích k zajištění bezpečnosti práce a protipožární ochrany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vstupních hutnických materiálech a jejich vlastnostech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vstupních materiálů a způsob jejich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tavících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manipulačních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analyzátorů pro stanovení chemických rozborů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řízení metalurgických procesů tavení neželezných kovů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procesů lití neželezných kovů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zkoušek neželezných kovů v hutní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Hutník/hutnice v recyklaci neželezných kovů, 28.10.2026 21:16:04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https://www.nsp.cz/jednotka-prace/hutnik-v-recyklaci-nezele#zdravotni-zpusobilost).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hutníka drahých kovů je předpokladem trestní bezúhonnost, je třeba ji doložit výpisem z rejstříku trestů.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bude realizována v simulovaném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Hutník/hutnice v recyklaci neželezných kovů, 28.10.2026 21:16:04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Aluhut,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Příbram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Hutník/hutnice v recyklaci neželezných kovů, 28.10.2026 21:16:04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