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5A1F7" Type="http://schemas.openxmlformats.org/officeDocument/2006/relationships/officeDocument" Target="/word/document.xml" /><Relationship Id="coreR55A5A1F7" Type="http://schemas.openxmlformats.org/package/2006/relationships/metadata/core-properties" Target="/docProps/core.xml" /><Relationship Id="customR55A5A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Omítkář, 29.4.2026 1:18:42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zhotovení vícevrstvé omítky na zadané konstrukci,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Výběr z technické dokumentace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postup zhotovení tenkovrstvé omítky na zadané konstrukci,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Výběr z technické dokumentace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vícevrstvé omítky na zadané konstrukci, návrh odůvodnit (dle ČSN EN 13914-1)</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Ústní nebo písemné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tenkovrstvé omítky na zadané konstrukci, návrh odůvodnit (dle ČSN EN 13914-1)</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nebo písemné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nebo písemné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a ústní ověření s výpočtem</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Vypočítat teoretickou spotřebu materiálů pro omítání</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Písemné a ústní ověření s výpočtem</w:t>
      </w:r>
    </w:p>
    <w:p>
      <w:pPr>
        <w:pStyle w:val="P32"/>
        <w:framePr w:w="10710" w:h="248" w:hRule="exact" w:wrap="none" w:vAnchor="page" w:hAnchor="margin" w:x="28" w:y="14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29.4.2026 1:18:42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omítku a upravit povrch omítky (dle ČSN 73 3713)</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nebo 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Připravit maltu ze suchých směsí (dle ČSN 72 24 30)</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9805"/>
        <w:rPr>
          <w:rStyle w:val="C23"/>
          <w:rtl w:val="0"/>
        </w:rPr>
      </w:pPr>
      <w:r>
        <w:rPr>
          <w:rStyle w:val="C23"/>
          <w:rtl w:val="0"/>
        </w:rPr>
        <w:t>Je třeba splnit obě kritéria s přihlédnutím k ČSN 72 24 30.</w:t>
      </w:r>
    </w:p>
    <w:p>
      <w:pPr>
        <w:pStyle w:val="P23"/>
        <w:framePr w:w="10710" w:h="340" w:hRule="exact" w:wrap="none" w:vAnchor="page" w:hAnchor="margin" w:x="28" w:y="10241"/>
        <w:rPr>
          <w:rStyle w:val="C18"/>
          <w:rtl w:val="0"/>
        </w:rPr>
      </w:pPr>
      <w:r>
        <w:rPr>
          <w:rStyle w:val="C18"/>
          <w:rtl w:val="0"/>
        </w:rPr>
        <w:t>Obsluha strojních zařízení pro omítkářské práce</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Popsat stroje a zařízení používané při omítkářských pracích</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nebo 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s ústní obhajobou</w:t>
      </w:r>
    </w:p>
    <w:p>
      <w:pPr>
        <w:pStyle w:val="P32"/>
        <w:framePr w:w="10710" w:h="248" w:hRule="exact" w:wrap="none" w:vAnchor="page" w:hAnchor="margin" w:x="28" w:y="11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29.4.2026 1:18:42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http://katalog.nsp.cz/karta_p.aspx?id_jp=143&amp;kod_sm1=41).</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2430 Malty pro stavební účely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0210-1 Geometrická přesnost ve výstavbě – Podmínky provádění – Část 1: Přesnost osazení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0210-2 Geometrická přesnost ve výstavbě – Podmínky provádění – Část 2: Přesnost monolitických betonových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0212-1 Geometrická přesnost ve výstavbě – Kontrola přesnosti – Část 1: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1803 (73 0201) Tolerance – Vyjadřování přesnosti rozměrů – Zásady a názvosloví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2310 Provádění zděných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1: Vnější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2: Příprava návrhů a základní postupy pro vnitřní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Obklady keramické a skleněné</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8101 Lešení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Nedílnou součástí hodnocení je hodnocení kvality provedení prací.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kvality pro odbornou způsobilost Provádění a opravy vícevrstvých omítek a Provádění a opravy tenkovrstvých omítek: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odchylka lícovaného povrchu (rovinnosti) zdiva určeného k omítání kontrolovaná příměrnou latí délky 2000 mm: +/- 10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odchylka lícovaného povrchu (rovinnosti) omítek kontrolovaná příměrnou latí délky 2000 mm omítka hrubá venkovní: +/- 5 mm, hrubá omítka: +/- 5 mm, hladká omítka: +/- 2,5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Omítkář, 29.4.2026 1:18:42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323"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Omítkář, 29.4.2026 1:18:42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mísící zařízení na přípravu stavebních lepidel, kolečko stavební, zařízení pro svislou dopravu stavebních materiálů, nádoby na maltu a stavební lepidlo, zednické lžíce, zednické spárovačky, zednická naběračka, zednické kladivo; hladítko dřevěné, novodurové, polystyrénové, plstěné a ocelové; ocelové nebo dřevěné vodící latě, štětka.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103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pro vykonání zkoušky</w:t>
      </w:r>
    </w:p>
    <w:p>
      <w:pPr>
        <w:keepNext w:val="0"/>
        <w:keepLines w:val="0"/>
        <w:framePr w:w="10766" w:h="80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Omítkář, 29.4.2026 1:18:42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29.4.2026 1:18:42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