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D9EAA3" Type="http://schemas.openxmlformats.org/officeDocument/2006/relationships/officeDocument" Target="/word/document.xml" /><Relationship Id="coreR47D9EAA3" Type="http://schemas.openxmlformats.org/package/2006/relationships/metadata/core-properties" Target="/docProps/core.xml" /><Relationship Id="customR47D9EA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Železář (kód: 36-062-H)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Železář; Železobetonář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Svařování výztuže nebo výztužných dílů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Zesilování konstrukcí z prostého, železového a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strojů a zařízení pro dělení, ohýbání a svařování výztuže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13.02.2013 do: 05.04.2019</w:t>
      </w:r>
    </w:p>
    <w:p>
      <w:pPr>
        <w:pStyle w:val="P21"/>
        <w:framePr w:w="7654" w:h="331" w:hRule="exact" w:wrap="none" w:vAnchor="page" w:hAnchor="margin" w:x="28" w:y="15940"/>
        <w:rPr>
          <w:rStyle w:val="C16"/>
          <w:rtl w:val="0"/>
        </w:rPr>
      </w:pPr>
      <w:r>
        <w:rPr>
          <w:rStyle w:val="C16"/>
          <w:rtl w:val="0"/>
        </w:rPr>
        <w:t>Železář, 29.10.2026 2:22:47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výztuže a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železobetonové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Zhotovování, 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Provést dělení výztužných sítí, prutů a ohýbání výztužných prutů</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Provést sestavení a spojení výztuže v projektu předepsaným způsobem</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Uložit výztuž do formy nebo do bednění</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Praktické předvedení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Svařování výztuže nebo výztužných dílů</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Stanovit postup montáže výztužných dílů</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komponenty pro sestavení výztužných dílů</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Zajistit bezpečnost práce při svařování</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 s ústním vysvětlením</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Svařit jednotlivé pruty případně předem připravené díly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0946"/>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Zesilování konstrukcí z prostého, železového a předpjatého betonu</w:t>
      </w:r>
    </w:p>
    <w:p>
      <w:pPr>
        <w:pStyle w:val="P24"/>
        <w:framePr w:w="6713" w:h="376" w:hRule="exact" w:wrap="none" w:vAnchor="page" w:hAnchor="margin" w:x="45" w:y="11821"/>
        <w:rPr>
          <w:rStyle w:val="C3"/>
          <w:rtl w:val="0"/>
        </w:rPr>
      </w:pPr>
    </w:p>
    <w:p>
      <w:pPr>
        <w:pStyle w:val="P25"/>
        <w:framePr w:w="6661" w:h="249" w:hRule="exact" w:wrap="none" w:vAnchor="page" w:hAnchor="margin" w:x="71" w:y="11892"/>
        <w:rPr>
          <w:rStyle w:val="C19"/>
          <w:rtl w:val="0"/>
        </w:rPr>
      </w:pPr>
      <w:r>
        <w:rPr>
          <w:rStyle w:val="C19"/>
          <w:rtl w:val="0"/>
        </w:rPr>
        <w:t>Kritéria hodnocení</w:t>
      </w:r>
    </w:p>
    <w:p>
      <w:pPr>
        <w:pStyle w:val="P26"/>
        <w:framePr w:w="3918" w:h="376" w:hRule="exact" w:wrap="none" w:vAnchor="page" w:hAnchor="margin" w:x="6803" w:y="11821"/>
        <w:rPr>
          <w:rStyle w:val="C3"/>
          <w:rtl w:val="0"/>
        </w:rPr>
      </w:pPr>
    </w:p>
    <w:p>
      <w:pPr>
        <w:pStyle w:val="P27"/>
        <w:framePr w:w="3836" w:h="249" w:hRule="exact" w:wrap="none" w:vAnchor="page" w:hAnchor="margin" w:x="6859" w:y="11892"/>
        <w:rPr>
          <w:rStyle w:val="C20"/>
          <w:rtl w:val="0"/>
        </w:rPr>
      </w:pPr>
      <w:r>
        <w:rPr>
          <w:rStyle w:val="C20"/>
          <w:rtl w:val="0"/>
        </w:rPr>
        <w:t>Způsoby ověření</w:t>
      </w:r>
    </w:p>
    <w:p>
      <w:pPr>
        <w:pStyle w:val="P12"/>
        <w:framePr w:w="6710" w:h="607" w:hRule="exact" w:wrap="none" w:vAnchor="page" w:hAnchor="margin" w:x="45" w:y="12197"/>
        <w:rPr>
          <w:rStyle w:val="C3"/>
          <w:rtl w:val="0"/>
        </w:rPr>
      </w:pPr>
    </w:p>
    <w:p>
      <w:pPr>
        <w:pStyle w:val="P13"/>
        <w:framePr w:w="6658" w:h="480" w:hRule="exact" w:wrap="none" w:vAnchor="page" w:hAnchor="margin" w:x="71" w:y="12253"/>
        <w:rPr>
          <w:rStyle w:val="C11"/>
          <w:rtl w:val="0"/>
        </w:rPr>
      </w:pPr>
      <w:r>
        <w:rPr>
          <w:rStyle w:val="C11"/>
          <w:rtl w:val="0"/>
        </w:rPr>
        <w:t>a) Stanovit postup montáže dodatečné výztuže v souladu s projektovou dokumentací a předepsanými technologickými postupy</w:t>
      </w:r>
    </w:p>
    <w:p>
      <w:pPr>
        <w:pStyle w:val="P28"/>
        <w:framePr w:w="3921" w:h="607" w:hRule="exact" w:wrap="none" w:vAnchor="page" w:hAnchor="margin" w:x="6800" w:y="12197"/>
        <w:rPr>
          <w:rStyle w:val="C3"/>
          <w:rtl w:val="0"/>
        </w:rPr>
      </w:pPr>
    </w:p>
    <w:p>
      <w:pPr>
        <w:pStyle w:val="P29"/>
        <w:framePr w:w="3839" w:h="480" w:hRule="exact" w:wrap="none" w:vAnchor="page" w:hAnchor="margin" w:x="6856" w:y="12253"/>
        <w:rPr>
          <w:rStyle w:val="C21"/>
          <w:rtl w:val="0"/>
        </w:rPr>
      </w:pPr>
      <w:r>
        <w:rPr>
          <w:rStyle w:val="C21"/>
          <w:rtl w:val="0"/>
        </w:rPr>
        <w:t>Ústní ověření</w:t>
      </w:r>
    </w:p>
    <w:p>
      <w:pPr>
        <w:pStyle w:val="P16"/>
        <w:framePr w:w="6710" w:h="376" w:hRule="exact" w:wrap="none" w:vAnchor="page" w:hAnchor="margin" w:x="45" w:y="12804"/>
        <w:rPr>
          <w:rStyle w:val="C3"/>
          <w:rtl w:val="0"/>
        </w:rPr>
      </w:pPr>
    </w:p>
    <w:p>
      <w:pPr>
        <w:pStyle w:val="P17"/>
        <w:framePr w:w="6658" w:h="249" w:hRule="exact" w:wrap="none" w:vAnchor="page" w:hAnchor="margin" w:x="71" w:y="12860"/>
        <w:rPr>
          <w:rStyle w:val="C13"/>
          <w:rtl w:val="0"/>
        </w:rPr>
      </w:pPr>
      <w:r>
        <w:rPr>
          <w:rStyle w:val="C13"/>
          <w:rtl w:val="0"/>
        </w:rPr>
        <w:t>b) Stanovit postup montáže výztužných prvků</w:t>
      </w:r>
    </w:p>
    <w:p>
      <w:pPr>
        <w:pStyle w:val="P30"/>
        <w:framePr w:w="3921" w:h="376" w:hRule="exact" w:wrap="none" w:vAnchor="page" w:hAnchor="margin" w:x="6800" w:y="12804"/>
        <w:rPr>
          <w:rStyle w:val="C3"/>
          <w:rtl w:val="0"/>
        </w:rPr>
      </w:pPr>
    </w:p>
    <w:p>
      <w:pPr>
        <w:pStyle w:val="P31"/>
        <w:framePr w:w="3839" w:h="249" w:hRule="exact" w:wrap="none" w:vAnchor="page" w:hAnchor="margin" w:x="6856" w:y="12860"/>
        <w:rPr>
          <w:rStyle w:val="C22"/>
          <w:rtl w:val="0"/>
        </w:rPr>
      </w:pPr>
      <w:r>
        <w:rPr>
          <w:rStyle w:val="C22"/>
          <w:rtl w:val="0"/>
        </w:rPr>
        <w:t>Ústní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c) Předepsaným způsobem ukotvit ztužující prvky</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670"/>
        <w:rPr>
          <w:rStyle w:val="C23"/>
          <w:rtl w:val="0"/>
        </w:rPr>
      </w:pPr>
      <w:r>
        <w:rPr>
          <w:rStyle w:val="C23"/>
          <w:rtl w:val="0"/>
        </w:rPr>
        <w:t>Je třeba splnit všechna kritéria podle zadání.</w:t>
      </w:r>
    </w:p>
    <w:p>
      <w:pPr>
        <w:pStyle w:val="P21"/>
        <w:framePr w:w="7654" w:h="331" w:hRule="exact" w:wrap="none" w:vAnchor="page" w:hAnchor="margin" w:x="28" w:y="15940"/>
        <w:rPr>
          <w:rStyle w:val="C16"/>
          <w:rtl w:val="0"/>
        </w:rPr>
      </w:pPr>
      <w:r>
        <w:rPr>
          <w:rStyle w:val="C16"/>
          <w:rtl w:val="0"/>
        </w:rPr>
        <w:t>Železář, 29.10.2026 2:22:47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dělení, ohýbání a svařování výztuže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v železářských dílnách a na staveništi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postup správného užívání, ošetřování a údržby běžně užívaných zařízení při výkonu pracovních činností – s využitím návodů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Železář, 29.10.2026 2:22:47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80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Železář, 29.10.2026 2:22:47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pozicích oblasti stavebnictví, z toho minimálně jeden rok v období posledních dvou let před podáním žádosti o autorizaci.</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Železář, 29.10.2026 2:22:47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na zpracování tyčí: automatický podavač, střihací linka, měřicí a střihací stolice, automatická střihací stolice, automatické ohýbací zařízení, automatická třmínkovačka, multifunkční stroj pro střih a ohyb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na zpracování svitků výztuže: automatická třmínkovačka, stroj na výrobu kontinuálního třmínku, rovnačka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stroje výztuže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armokošů do pilot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výrobu a zpracování výztužných sítí: zařízení na výrobu svařovaných sítí, stroj na stříhání sítí, stroj na ohýbání sítí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stavbě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 a ohýbačky výztuže, kombinované stroje, skružovačky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armovací klička na vázání výztuže vázacím drátem, kleště, pákové nůžky na železo, nůžky na železo, měřidla</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Železář, 29.10.2026 2:22:47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Železář, 29.10.2026 2:22:47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