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DC6EB9" Type="http://schemas.openxmlformats.org/officeDocument/2006/relationships/officeDocument" Target="/word/document.xml" /><Relationship Id="coreR4BDC6EB9" Type="http://schemas.openxmlformats.org/package/2006/relationships/metadata/core-properties" Target="/docProps/core.xml" /><Relationship Id="customR4BDC6E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šablon a programů pro strojní rytí písmen, číslic, značek, ornamentů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 na pantografických frézkách podle šablon, nebo CNC strojích podle dodaného nebo vytvořeného programu anebo námětu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ryteckých strojů, nářadí, nástrojů a pomůcek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29.10.2026 0:51:52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https://www.nsp.cz/jednotka-prace/strojni-rytec#zdravotni-zpusobilost).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strojního rytce v podmínkách běžné strojírenské výroby, kde pracovník musí zvládnout jak návrh a přípravu zadané výroby, tak i obsluhu a údržbu strojů pro strojní rytí. Typickými příklady strojů používaných pro strojní rytí jsou např. pantografické frézky, CNC frézky, CNC laserové stroje, mikroúderové gravírovací stroje.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požadavků praktické zkoušky se považuje komplexní zvládnutí přípravy, realizace a kontroly výrobního úkonu na zvoleném (užívaném) ryteckém stroji.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29.10.2026 0:51:52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Moravskoslezský strojírenský klastr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29.10.2026 0:51:52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