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32CF38" Type="http://schemas.openxmlformats.org/officeDocument/2006/relationships/officeDocument" Target="/word/document.xml" /><Relationship Id="coreR5532CF38" Type="http://schemas.openxmlformats.org/package/2006/relationships/metadata/core-properties" Target="/docProps/core.xml" /><Relationship Id="customR5532CF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rytec/rytkyně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šablon a programů pro strojní rytí písmen, číslic, značek, ornamentů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 na pantografických frézkách podle šablon, nebo CNC strojích podle dodaného nebo vytvořeného programu anebo námětu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ryteckých strojů, nářadí, nástrojů a pomůcek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27.10.2026 1:57:33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https://www.nsp.cz/jednotka-prace/strojni-rytec#zdravotni-zpusobilost).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strojního rytce v podmínkách běžné strojírenské výroby, kde pracovník musí zvládnout jak návrh a přípravu zadané výroby, tak i obsluhu a údržbu strojů pro strojní rytí. Typickými příklady strojů používaných pro strojní rytí jsou např. pantografické frézky, CNC frézky, CNC laserové stroje, mikroúderové gravírovací stroje.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požadavků praktické zkoušky se považuje komplexní zvládnutí přípravy, realizace a kontroly výrobního úkonu na zvoleném (užívaném) ryteckém stroji.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27.10.2026 1:57:33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Moravskoslezský strojírenský klastr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27.10.2026 1:57:33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