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0F5292" Type="http://schemas.openxmlformats.org/officeDocument/2006/relationships/officeDocument" Target="/word/document.xml" /><Relationship Id="coreR2D0F5292" Type="http://schemas.openxmlformats.org/package/2006/relationships/metadata/core-properties" Target="/docProps/core.xml" /><Relationship Id="customR2D0F52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rytec/rytkyně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rytec/rytkyně, 28.4.2026 19:52:54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Strojní rytec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  <w:r>
        <w:rPr>
          <w:rStyle w:val="C19"/>
          <w:rtl w:val="0"/>
        </w:rPr>
        <w:t>Nástrojař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rytec/rytkyně, 28.4.2026 19:52:54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