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354B49" Type="http://schemas.openxmlformats.org/officeDocument/2006/relationships/officeDocument" Target="/word/document.xml" /><Relationship Id="coreR4E354B49" Type="http://schemas.openxmlformats.org/package/2006/relationships/metadata/core-properties" Target="/docProps/core.xml" /><Relationship Id="customR4E354B4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Galvanizér (kód: 23-060-H)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Zušlechťovač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Rozlišit materiály, které budou pokovovány a materiály pro vytváření povlaků, respektovat při zpracování jejich technologické, chemické a mechanické vlastnosti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Prokázat znalost způsobů antikorozní ochrany materiálu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Popsat technologický postup povrchové úpravy kovů nanášením kovových povlaků a jejich jednotlivé operace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chemické, elektrochemické a žárové vytváření povlaků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Příprava povrchů součástí před povrchovými úpravami - opalování, odrezování, odmašťování, tryskání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Manipulace s polotovarem nebo výrobkem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Příprava lázní pro moření, fosfátování, eloxování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Obsluha zařízení pro chemické, elektrochemické a žárové vytváření povlaků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Pokovování součástí roztavenými kovy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Měření a kontrola výsledků, tloušťky nanesené vrstvy a jakosti povrchu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06.02.2013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Galvanizér, 11.9.2026 19:14:35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http://katalog.nsp.cz/karta_p.aspx?id_jp=118&amp;kod_sm1=37).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Galvanizér, 11.9.2026 19:14:35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strojírenství, ustavená a licencovaná pro tuto činnost HK ČR a SP ČR.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GEARWORKS, a. s.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POWER ENGINEERING, a. s.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Šmeral Brno,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Galvanizér, 11.9.2026 19:14:35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