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7356B1" Type="http://schemas.openxmlformats.org/officeDocument/2006/relationships/officeDocument" Target="/word/document.xml" /><Relationship Id="coreR477356B1" Type="http://schemas.openxmlformats.org/package/2006/relationships/metadata/core-properties" Target="/docProps/core.xml" /><Relationship Id="customR477356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Galvanizér (kód: 23-060-H)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Galvanizér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Rozlišování materiálů pro pokovování a materiálů pro vytváření povlaků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antikorozní ochraně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povrchové úpravy kovů nanášením kovových povlaků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chemické, elektrochemické a žárové vytváření povlaků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lázní pro moření, fosfátování, eloxování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pro chemické, elektrochemické a žárové vytváření povlaků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Pokovování součástí roztavenými kovy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kontrola výsledků, tloušťky nanesené vrstvy a jakosti povrchu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Galvanizér, 27.10.2026 4:14:08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https://www.nsp.cz/jednotka-prace/galvanizer#zdravotni-zpusobilost).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galvanizéra dle jednotlivých podmínek výrob, kde jednotliví pracovníci obsluhují zařízení pro povrchové úpravy dle jednotlivých technologií, kterými jsou: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zařízení pro provedení žárového nástřiku plamenem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zařízení pro provedení žárového nástřiku el. obloukem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vany pro zinkování ponorem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Zkouškou musí být prokázána znalost všech uvedených technologií pro povrchové úpravy.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autorizovaná osoba nevlastní veškeré potřebné technologie pro výkon zkoušky PK, musí mít smluvně zajištěny zbylé technologie u jiných subjektů.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Galvanizér, 27.10.2026 4:14:08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Galvanizér, 27.10.2026 4:14:08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