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12DAB" Type="http://schemas.openxmlformats.org/officeDocument/2006/relationships/officeDocument" Target="/word/document.xml" /><Relationship Id="coreRAC12DAB" Type="http://schemas.openxmlformats.org/package/2006/relationships/metadata/core-properties" Target="/docProps/core.xml" /><Relationship Id="customRAC12D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druhů písma a způsobů jeho konstrukce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Kopírování a kreslení písma a ornamentů na hrubou nebo leštěnou kamennou plochu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 písma do měkkých a tvrdých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zhotovení písma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Konečná úprava písma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při zhotovení písma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zadání obsahově vycházejí z jednotlivých kritérií hodnocení. Autorizovaná osoba pro zkoušku vybere jedno zadání.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se klade důraz: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organizaci práce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provedení zadaných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samostatnost při rozhodování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7272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65C0D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