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8E053" Type="http://schemas.openxmlformats.org/officeDocument/2006/relationships/officeDocument" Target="/word/document.xml" /><Relationship Id="coreR46C8E053" Type="http://schemas.openxmlformats.org/package/2006/relationships/metadata/core-properties" Target="/docProps/core.xml" /><Relationship Id="customR46C8E0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Rýsovač/rýsovačka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obrábění, orýsování os v jednotlivých rovinách a roztečích děr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27.10.2026 1:30:55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https://www.nsp.cz/jednotka-prace/rysovac#zdravotni-zpusobilost). Při ověřování kritérií formou praktického ověření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rýsovače strojních součástí v podmínkách kusové a malosériové výroby, kdy nejsou pro obrábění k dispozici přípravky, které zabezpečují přesnou osu a polohu obrobku pro obrábění. U odlitků činnost rýsovače spočívá ve vyznačení přídavků pro obrábění a určení os odlitku pro snadné vyrovnání na obráběcích strojích. Je nutný správný výběr media pro nátěr rýsované plochy. Hodnotí se správný výběr rýsovacích pomůcek a měřidel. Následují pomůcky, které pomáhají při polohování dílců, důležitý je výběr základní polohy jako výchozí pro další polohování. Při manipulaci s dílci se nesmí zapomínat na bezpečnost práce, hlavně u hmotných a rozměrných součástí.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27.10.2026 1:30:55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ve Žďáře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27.10.2026 1:30:55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