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B248D5" Type="http://schemas.openxmlformats.org/officeDocument/2006/relationships/officeDocument" Target="/word/document.xml" /><Relationship Id="coreR7FB248D5" Type="http://schemas.openxmlformats.org/package/2006/relationships/metadata/core-properties" Target="/docProps/core.xml" /><Relationship Id="customR7FB248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Seřizovač konvenčních obráběcích strojů, 13.6.2026 13:23:41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2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http://katalog.nsp.cz/karta_p.aspx?id_jp=108&amp;kod_sm1=37).</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21"/>
        <w:framePr w:w="7654" w:h="331" w:hRule="exact" w:wrap="none" w:vAnchor="page" w:hAnchor="margin" w:x="28" w:y="15940"/>
        <w:rPr>
          <w:rStyle w:val="C16"/>
          <w:rtl w:val="0"/>
        </w:rPr>
      </w:pPr>
      <w:r>
        <w:rPr>
          <w:rStyle w:val="C16"/>
          <w:rtl w:val="0"/>
        </w:rPr>
        <w:t>Seřizovač konvenčních obráběcích strojů, 13.6.2026 13:23:41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strojírenství, ustavená a licencovaná pro tuto činnost HK ČR a SP ČR.</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Seřizovač konvenčních obráběcích strojů, 13.6.2026 13:23:41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