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F4BF1" Type="http://schemas.openxmlformats.org/officeDocument/2006/relationships/officeDocument" Target="/word/document.xml" /><Relationship Id="coreR2FFF4BF1" Type="http://schemas.openxmlformats.org/package/2006/relationships/metadata/core-properties" Target="/docProps/core.xml" /><Relationship Id="customR2FFF4B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Seřizovač konvenčních obráběcích strojů, 29.10.2026 10:01:47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2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21"/>
        <w:framePr w:w="7654" w:h="331" w:hRule="exact" w:wrap="none" w:vAnchor="page" w:hAnchor="margin" w:x="28" w:y="15940"/>
        <w:rPr>
          <w:rStyle w:val="C16"/>
          <w:rtl w:val="0"/>
        </w:rPr>
      </w:pPr>
      <w:r>
        <w:rPr>
          <w:rStyle w:val="C16"/>
          <w:rtl w:val="0"/>
        </w:rPr>
        <w:t>Seřizovač konvenčních obráběcích strojů, 29.10.2026 10:01:47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strojírenství, ustavená a licencovaná pro tuto činnost HK ČR a SP ČR.</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17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Seřizovač konvenčních obráběcích strojů, 29.10.2026 10:01:47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