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85BA3B" Type="http://schemas.openxmlformats.org/officeDocument/2006/relationships/officeDocument" Target="/word/document.xml" /><Relationship Id="coreRC85BA3B" Type="http://schemas.openxmlformats.org/package/2006/relationships/metadata/core-properties" Target="/docProps/core.xml" /><Relationship Id="customRC85BA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Smaltér/smaltérka (kód: 23-067-H)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Rozlišování materiálů pro smaltování a pro smaltové suspenze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antikorozní ochraně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povrchové úpravy kovů smaltováním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povrchové úpravy smaltováním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suspenzí pro smaltování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Obsluha, seřizování, ošetřování a údržba zařízení pro smaltování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kontrola výsledků smaltování (tloušťky nanesené vrstvy, jakosti povrchu)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Smaltér/smaltérka, 13.6.2026 11:10:38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https://www.nsp.cz/jednotka-prace/smalter#zdravotni-zpusobilost).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musí odpovídat reálným pracovním činnostem smaltéra v podmínkách smaltování výrobní linky. Zaučení pracovníci se podílí na posloupnosti řady přípravných operací – tryskání, odmaštění, manipulace s materiálem a vlastním procesu smaltování. Podmínky zkoušky požadují přípravu smaltéřské suspenze, seřízení zařízení pro nástřik a nástřik smaltové suspenze na povrch dílu s následným vypálením smaltu. Splněním požadavku zkoušky se považuje vyhodnocení zhotoveného smaltového povlaku s odpovídajícími parametry (tloušťka, celistvost).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Smaltér/smaltérka, 13.6.2026 11:10:38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Smaltér/smaltérka, 13.6.2026 11:10:38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