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C5C7E9" Type="http://schemas.openxmlformats.org/officeDocument/2006/relationships/officeDocument" Target="/word/document.xml" /><Relationship Id="coreRDC5C7E9" Type="http://schemas.openxmlformats.org/package/2006/relationships/metadata/core-properties" Target="/docProps/core.xml" /><Relationship Id="customRDC5C7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elektrických instalací, 28.7.2026 21:47:59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0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 6) podle vyhlášky č. 50/1978 Sb., v platném znění. Pro účely zkoušky tento požadavek neplatí.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pStyle w:val="P21"/>
        <w:framePr w:w="7654" w:h="331" w:hRule="exact" w:wrap="none" w:vAnchor="page" w:hAnchor="margin" w:x="28" w:y="15940"/>
        <w:rPr>
          <w:rStyle w:val="C16"/>
          <w:rtl w:val="0"/>
        </w:rPr>
      </w:pPr>
      <w:r>
        <w:rPr>
          <w:rStyle w:val="C16"/>
          <w:rtl w:val="0"/>
        </w:rPr>
        <w:t>Montér elektrických instalací, 28.7.2026 21:47:59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instalací, 28.7.2026 21:47:59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