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0685C1" Type="http://schemas.openxmlformats.org/officeDocument/2006/relationships/officeDocument" Target="/word/document.xml" /><Relationship Id="coreR3E0685C1" Type="http://schemas.openxmlformats.org/package/2006/relationships/metadata/core-properties" Target="/docProps/core.xml" /><Relationship Id="customR3E0685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15.01.2021 do: 14.10.2022</w:t>
      </w:r>
    </w:p>
    <w:p>
      <w:pPr>
        <w:pStyle w:val="P21"/>
        <w:framePr w:w="7654" w:h="331" w:hRule="exact" w:wrap="none" w:vAnchor="page" w:hAnchor="margin" w:x="28" w:y="15940"/>
        <w:rPr>
          <w:rStyle w:val="C16"/>
          <w:rtl w:val="0"/>
        </w:rPr>
      </w:pPr>
      <w:r>
        <w:rPr>
          <w:rStyle w:val="C16"/>
          <w:rtl w:val="0"/>
        </w:rPr>
        <w:t>Montér elektrických sítí, 27.10.2026 4:13:29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2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§5) podle vyhlášky č. 50/1978 Sb., v platném znění. Pro účely zkoušky tento požadavek neplatí.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elektrických sítí, 27.10.2026 4:13:29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sítí, 27.10.2026 4:13:29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