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A32F2" Type="http://schemas.openxmlformats.org/officeDocument/2006/relationships/officeDocument" Target="/word/document.xml" /><Relationship Id="coreR6F4A32F2" Type="http://schemas.openxmlformats.org/package/2006/relationships/metadata/core-properties" Target="/docProps/core.xml" /><Relationship Id="customR6F4A32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Montér elektrických rozvaděčů, 13.6.2026 11:49:03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13.6.2026 11:49:03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Praktické předvedení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Dimenzování, jištění elektrických vedení</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Písemné ověření</w:t>
      </w:r>
    </w:p>
    <w:p>
      <w:pPr>
        <w:pStyle w:val="P16"/>
        <w:framePr w:w="6710" w:h="376" w:hRule="exact" w:wrap="none" w:vAnchor="page" w:hAnchor="margin" w:x="45" w:y="11480"/>
        <w:rPr>
          <w:rStyle w:val="C3"/>
          <w:rtl w:val="0"/>
        </w:rPr>
      </w:pPr>
    </w:p>
    <w:p>
      <w:pPr>
        <w:pStyle w:val="P17"/>
        <w:framePr w:w="6658" w:h="249" w:hRule="exact" w:wrap="none" w:vAnchor="page" w:hAnchor="margin" w:x="71" w:y="11536"/>
        <w:rPr>
          <w:rStyle w:val="C13"/>
          <w:rtl w:val="0"/>
        </w:rPr>
      </w:pPr>
      <w:r>
        <w:rPr>
          <w:rStyle w:val="C13"/>
          <w:rtl w:val="0"/>
        </w:rPr>
        <w:t>b) Provést návrh dimenzování vedení dle zadání autorizované osoby</w:t>
      </w:r>
    </w:p>
    <w:p>
      <w:pPr>
        <w:pStyle w:val="P30"/>
        <w:framePr w:w="3921" w:h="376" w:hRule="exact" w:wrap="none" w:vAnchor="page" w:hAnchor="margin" w:x="6800" w:y="11480"/>
        <w:rPr>
          <w:rStyle w:val="C3"/>
          <w:rtl w:val="0"/>
        </w:rPr>
      </w:pPr>
    </w:p>
    <w:p>
      <w:pPr>
        <w:pStyle w:val="P31"/>
        <w:framePr w:w="3839" w:h="249" w:hRule="exact" w:wrap="none" w:vAnchor="page" w:hAnchor="margin" w:x="6856" w:y="11536"/>
        <w:rPr>
          <w:rStyle w:val="C22"/>
          <w:rtl w:val="0"/>
        </w:rPr>
      </w:pPr>
      <w:r>
        <w:rPr>
          <w:rStyle w:val="C22"/>
          <w:rtl w:val="0"/>
        </w:rPr>
        <w:t>Praktické předvedení a ústní ověření</w:t>
      </w:r>
    </w:p>
    <w:p>
      <w:pPr>
        <w:pStyle w:val="P12"/>
        <w:framePr w:w="6710" w:h="376" w:hRule="exact" w:wrap="none" w:vAnchor="page" w:hAnchor="margin" w:x="45" w:y="11856"/>
        <w:rPr>
          <w:rStyle w:val="C3"/>
          <w:rtl w:val="0"/>
        </w:rPr>
      </w:pPr>
    </w:p>
    <w:p>
      <w:pPr>
        <w:pStyle w:val="P13"/>
        <w:framePr w:w="6658" w:h="249" w:hRule="exact" w:wrap="none" w:vAnchor="page" w:hAnchor="margin" w:x="71" w:y="11912"/>
        <w:rPr>
          <w:rStyle w:val="C11"/>
          <w:rtl w:val="0"/>
        </w:rPr>
      </w:pPr>
      <w:r>
        <w:rPr>
          <w:rStyle w:val="C11"/>
          <w:rtl w:val="0"/>
        </w:rPr>
        <w:t>c) Vysvětlit princip působení ochran proti nadproudům a přepětím</w:t>
      </w:r>
    </w:p>
    <w:p>
      <w:pPr>
        <w:pStyle w:val="P28"/>
        <w:framePr w:w="3921" w:h="376" w:hRule="exact" w:wrap="none" w:vAnchor="page" w:hAnchor="margin" w:x="6800" w:y="11856"/>
        <w:rPr>
          <w:rStyle w:val="C3"/>
          <w:rtl w:val="0"/>
        </w:rPr>
      </w:pPr>
    </w:p>
    <w:p>
      <w:pPr>
        <w:pStyle w:val="P29"/>
        <w:framePr w:w="3839" w:h="249" w:hRule="exact" w:wrap="none" w:vAnchor="page" w:hAnchor="margin" w:x="6856" w:y="11912"/>
        <w:rPr>
          <w:rStyle w:val="C21"/>
          <w:rtl w:val="0"/>
        </w:rPr>
      </w:pPr>
      <w:r>
        <w:rPr>
          <w:rStyle w:val="C21"/>
          <w:rtl w:val="0"/>
        </w:rPr>
        <w:t>Písemné ověření</w:t>
      </w:r>
    </w:p>
    <w:p>
      <w:pPr>
        <w:pStyle w:val="P16"/>
        <w:framePr w:w="6710" w:h="1280" w:hRule="exact" w:wrap="none" w:vAnchor="page" w:hAnchor="margin" w:x="45" w:y="12233"/>
        <w:rPr>
          <w:rStyle w:val="C3"/>
          <w:rtl w:val="0"/>
        </w:rPr>
      </w:pPr>
    </w:p>
    <w:p>
      <w:pPr>
        <w:pStyle w:val="P17"/>
        <w:framePr w:w="6658" w:h="1153" w:hRule="exact" w:wrap="none" w:vAnchor="page" w:hAnchor="margin" w:x="71" w:y="12289"/>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233"/>
        <w:rPr>
          <w:rStyle w:val="C3"/>
          <w:rtl w:val="0"/>
        </w:rPr>
      </w:pPr>
    </w:p>
    <w:p>
      <w:pPr>
        <w:pStyle w:val="P31"/>
        <w:framePr w:w="3839" w:h="1153" w:hRule="exact" w:wrap="none" w:vAnchor="page" w:hAnchor="margin" w:x="6856" w:y="12289"/>
        <w:rPr>
          <w:rStyle w:val="C22"/>
          <w:rtl w:val="0"/>
        </w:rPr>
      </w:pPr>
      <w:r>
        <w:rPr>
          <w:rStyle w:val="C22"/>
          <w:rtl w:val="0"/>
        </w:rPr>
        <w:t>Písemné ověření</w:t>
      </w:r>
    </w:p>
    <w:p>
      <w:pPr>
        <w:pStyle w:val="P32"/>
        <w:framePr w:w="10710" w:h="248" w:hRule="exact" w:wrap="none" w:vAnchor="page" w:hAnchor="margin" w:x="28" w:y="13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13.6.2026 11:49:03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13.6.2026 11:49:03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rozvaděčů, 13.6.2026 11:49:03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uchazeč autorizované osobě před zkouškou nepředloží platné Osvědčení o elektrotechnické způsobilosti dle §6 nebo vyšším, autorizovaná osoba před začátkem zkoušky provede školení a přezkoušení dle §14 vyhlášky 50/1978 Sb., v platném znění, na činnosti na elektrických zařízeních, se kterými uchazeč při zkoušce přijde do styku a bude s nimi manipulovat. O školení a přezkoušení provede autorizovaná osoba písemný záznam. Čas na školení a přezkoušení není zahrnut do doby vykonávání zkoušky, ani do doby přípravy na zkoušku.</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17"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rozvaděčů, 13.6.2026 11:49:03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odborného výcviku nebo praktického vyučování v elektrooboru a současně musí splňovat odbornou způsobilost v elektrotechnice dle vyhlášky č. 50/1978 Sb., v platném znění, min. §6.</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elektrických rozvaděčů, 13.6.2026 11:49:03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 elektrických rozvaděčů, 13.6.2026 11:49:03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elektrických rozvaděčů, 13.6.2026 11:49:04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rozvaděčů, 13.6.2026 11:49:04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1AE7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1654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1196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17D9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644738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EA001F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1B900F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