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89596A" Type="http://schemas.openxmlformats.org/officeDocument/2006/relationships/officeDocument" Target="/word/document.xml" /><Relationship Id="coreR3F89596A" Type="http://schemas.openxmlformats.org/package/2006/relationships/metadata/core-properties" Target="/docProps/core.xml" /><Relationship Id="customR3F89596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linky pro výrobu krmných směsí (kód: 29-031-M)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strojů a zařízení pro výrobu krmných směsí a premixů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Nastavení výrobního procesu na plně automatické nebo poloautomatické výrobní lince pro výrobu krmné směsi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výroby krmných směsí pomocí softwarového programu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Dodržování zásad správné praxe pro výrobu krmných směsí a medikovaných krmiv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Kvalitativní posouzení krmných surovin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Vzorkování volně ložených a pytlovaných krmiv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normách, standardech a právních předpisech používaných v oboru krmivářství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31.10.2012 do: 05.11.2018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linky pro výrobu krmných směsí, 3.11.2026 18:21:36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se připouští použití PC s přístupem na internet, zejména pro předvedení orientace v právních předpisech, technických normách a standardech používaných v oboru.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„Nastavení výrobního procesu na plně automatické nebo poloautomatické výrobní lince pro krmné směsi“ probíhá zkoušení až do iniciace výrobní linky.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linky pro výrobu krmných směsí, 3.11.2026 18:21:36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Agrofert Holding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 Krásná Hora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Českomoravské sdružení organizací zemědělského zásobování a nákupu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linky pro výrobu krmných směsí, 3.11.2026 18:21:36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