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A13E1F" Type="http://schemas.openxmlformats.org/officeDocument/2006/relationships/officeDocument" Target="/word/document.xml" /><Relationship Id="coreR31A13E1F" Type="http://schemas.openxmlformats.org/package/2006/relationships/metadata/core-properties" Target="/docProps/core.xml" /><Relationship Id="customR31A13E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linky pro výrobu premixů (kód: 29-032-M)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premixy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premixů a medikovaných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doplňkových látek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Charakterizování chemicko-fyzikálních vlastností používaných doplňkových látek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31.10.2012 do: 05.11.2018</w:t>
      </w:r>
    </w:p>
    <w:p>
      <w:pPr>
        <w:pStyle w:val="P21"/>
        <w:framePr w:w="7654" w:h="331" w:hRule="exact" w:wrap="none" w:vAnchor="page" w:hAnchor="margin" w:x="28" w:y="15940"/>
        <w:rPr>
          <w:rStyle w:val="C16"/>
          <w:rtl w:val="0"/>
        </w:rPr>
      </w:pPr>
      <w:r>
        <w:rPr>
          <w:rStyle w:val="C16"/>
          <w:rtl w:val="0"/>
        </w:rPr>
        <w:t>Operátor linky pro výrobu premixů, 1.8.2026 22:12:33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plně automatické nebo poloautomatické výrobní lince pro premixy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výrobní proces na plně automatické lince pro výrobu určeného premixu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Nastavit výrobní proces na poloautomatické lince, včetně ručního nadávkování doplňkových látek zadaných v receptuře pro výrobu určeného premixu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kritérium a) nebo b).</w:t>
      </w:r>
    </w:p>
    <w:p>
      <w:pPr>
        <w:pStyle w:val="P23"/>
        <w:framePr w:w="10710" w:h="340" w:hRule="exact" w:wrap="none" w:vAnchor="page" w:hAnchor="margin" w:x="28" w:y="5514"/>
        <w:rPr>
          <w:rStyle w:val="C18"/>
          <w:rtl w:val="0"/>
        </w:rPr>
      </w:pPr>
      <w:r>
        <w:rPr>
          <w:rStyle w:val="C18"/>
          <w:rtl w:val="0"/>
        </w:rPr>
        <w:t>Řízení výroby krmných směsí pomocí softwarového programu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Vložit zadání výrobní receptury určeného premixu u plně automatické linky do softwarového programu</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Sledovat průběh a případně zastavit výrobní proces při signalizaci poruchy nebo problému</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Dodržování zásad správné praxe pro výrobu premixů a medikovaných premixů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Vysvětlit a dodržovat zásady správné praxe pro výrobu premixů vycházející z principů hygieny krmiv</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Vysvětlit a dodržovat zásady správné praxe pro výrobu medikovaných premixů</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Vzorkování doplňkových látek a premixů</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376" w:hRule="exact" w:wrap="none" w:vAnchor="page" w:hAnchor="margin" w:x="45" w:y="11486"/>
        <w:rPr>
          <w:rStyle w:val="C3"/>
          <w:rtl w:val="0"/>
        </w:rPr>
      </w:pPr>
    </w:p>
    <w:p>
      <w:pPr>
        <w:pStyle w:val="P13"/>
        <w:framePr w:w="6658" w:h="249" w:hRule="exact" w:wrap="none" w:vAnchor="page" w:hAnchor="margin" w:x="71" w:y="11542"/>
        <w:rPr>
          <w:rStyle w:val="C11"/>
          <w:rtl w:val="0"/>
        </w:rPr>
      </w:pPr>
      <w:r>
        <w:rPr>
          <w:rStyle w:val="C11"/>
          <w:rtl w:val="0"/>
        </w:rPr>
        <w:t>a) Popsat postup odběru vzorku a odebrat vzorek doplňkové látky</w:t>
      </w:r>
    </w:p>
    <w:p>
      <w:pPr>
        <w:pStyle w:val="P28"/>
        <w:framePr w:w="3921" w:h="376" w:hRule="exact" w:wrap="none" w:vAnchor="page" w:hAnchor="margin" w:x="6800" w:y="11486"/>
        <w:rPr>
          <w:rStyle w:val="C3"/>
          <w:rtl w:val="0"/>
        </w:rPr>
      </w:pPr>
    </w:p>
    <w:p>
      <w:pPr>
        <w:pStyle w:val="P29"/>
        <w:framePr w:w="3839" w:h="249" w:hRule="exact" w:wrap="none" w:vAnchor="page" w:hAnchor="margin" w:x="6856" w:y="11542"/>
        <w:rPr>
          <w:rStyle w:val="C21"/>
          <w:rtl w:val="0"/>
        </w:rPr>
      </w:pPr>
      <w:r>
        <w:rPr>
          <w:rStyle w:val="C21"/>
          <w:rtl w:val="0"/>
        </w:rPr>
        <w:t>Praktické předvedení a ústní vyjádření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Popsat postup odběru vzorku a odebrat vzorek premixu</w:t>
      </w:r>
    </w:p>
    <w:p>
      <w:pPr>
        <w:pStyle w:val="P30"/>
        <w:framePr w:w="3921" w:h="376" w:hRule="exact" w:wrap="none" w:vAnchor="page" w:hAnchor="margin" w:x="6800" w:y="11862"/>
        <w:rPr>
          <w:rStyle w:val="C3"/>
          <w:rtl w:val="0"/>
        </w:rPr>
      </w:pPr>
    </w:p>
    <w:p>
      <w:pPr>
        <w:pStyle w:val="P31"/>
        <w:framePr w:w="3839" w:h="249" w:hRule="exact" w:wrap="none" w:vAnchor="page" w:hAnchor="margin" w:x="6856" w:y="11918"/>
        <w:rPr>
          <w:rStyle w:val="C22"/>
          <w:rtl w:val="0"/>
        </w:rPr>
      </w:pPr>
      <w:r>
        <w:rPr>
          <w:rStyle w:val="C22"/>
          <w:rtl w:val="0"/>
        </w:rPr>
        <w:t>Praktické předvedení a ústní vyjádření</w:t>
      </w:r>
    </w:p>
    <w:p>
      <w:pPr>
        <w:pStyle w:val="P32"/>
        <w:framePr w:w="10710" w:h="248" w:hRule="exact" w:wrap="none" w:vAnchor="page" w:hAnchor="margin" w:x="28" w:y="12352"/>
        <w:rPr>
          <w:rStyle w:val="C23"/>
          <w:rtl w:val="0"/>
        </w:rPr>
      </w:pPr>
      <w:r>
        <w:rPr>
          <w:rStyle w:val="C23"/>
          <w:rtl w:val="0"/>
        </w:rPr>
        <w:t>Je třeba splnit obě kritéria.</w:t>
      </w:r>
    </w:p>
    <w:p>
      <w:pPr>
        <w:pStyle w:val="P23"/>
        <w:framePr w:w="10710" w:h="340" w:hRule="exact" w:wrap="none" w:vAnchor="page" w:hAnchor="margin" w:x="28" w:y="12788"/>
        <w:rPr>
          <w:rStyle w:val="C18"/>
          <w:rtl w:val="0"/>
        </w:rPr>
      </w:pPr>
      <w:r>
        <w:rPr>
          <w:rStyle w:val="C18"/>
          <w:rtl w:val="0"/>
        </w:rPr>
        <w:t>Charakterizování chemicko-fyzikálních vlastností používaných doplňkových látek</w:t>
      </w:r>
    </w:p>
    <w:p>
      <w:pPr>
        <w:pStyle w:val="P24"/>
        <w:framePr w:w="6713" w:h="376" w:hRule="exact" w:wrap="none" w:vAnchor="page" w:hAnchor="margin" w:x="45" w:y="13227"/>
        <w:rPr>
          <w:rStyle w:val="C3"/>
          <w:rtl w:val="0"/>
        </w:rPr>
      </w:pPr>
    </w:p>
    <w:p>
      <w:pPr>
        <w:pStyle w:val="P25"/>
        <w:framePr w:w="6661" w:h="249" w:hRule="exact" w:wrap="none" w:vAnchor="page" w:hAnchor="margin" w:x="71" w:y="13298"/>
        <w:rPr>
          <w:rStyle w:val="C19"/>
          <w:rtl w:val="0"/>
        </w:rPr>
      </w:pPr>
      <w:r>
        <w:rPr>
          <w:rStyle w:val="C19"/>
          <w:rtl w:val="0"/>
        </w:rPr>
        <w:t>Kritéria hodnocení</w:t>
      </w:r>
    </w:p>
    <w:p>
      <w:pPr>
        <w:pStyle w:val="P26"/>
        <w:framePr w:w="3918" w:h="376" w:hRule="exact" w:wrap="none" w:vAnchor="page" w:hAnchor="margin" w:x="6803" w:y="13227"/>
        <w:rPr>
          <w:rStyle w:val="C3"/>
          <w:rtl w:val="0"/>
        </w:rPr>
      </w:pPr>
    </w:p>
    <w:p>
      <w:pPr>
        <w:pStyle w:val="P27"/>
        <w:framePr w:w="3836" w:h="249" w:hRule="exact" w:wrap="none" w:vAnchor="page" w:hAnchor="margin" w:x="6859" w:y="13298"/>
        <w:rPr>
          <w:rStyle w:val="C20"/>
          <w:rtl w:val="0"/>
        </w:rPr>
      </w:pPr>
      <w:r>
        <w:rPr>
          <w:rStyle w:val="C20"/>
          <w:rtl w:val="0"/>
        </w:rPr>
        <w:t>Způsoby ověření</w:t>
      </w:r>
    </w:p>
    <w:p>
      <w:pPr>
        <w:pStyle w:val="P12"/>
        <w:framePr w:w="6710" w:h="607" w:hRule="exact" w:wrap="none" w:vAnchor="page" w:hAnchor="margin" w:x="45" w:y="13603"/>
        <w:rPr>
          <w:rStyle w:val="C3"/>
          <w:rtl w:val="0"/>
        </w:rPr>
      </w:pPr>
    </w:p>
    <w:p>
      <w:pPr>
        <w:pStyle w:val="P13"/>
        <w:framePr w:w="6658" w:h="480" w:hRule="exact" w:wrap="none" w:vAnchor="page" w:hAnchor="margin" w:x="71" w:y="13659"/>
        <w:rPr>
          <w:rStyle w:val="C11"/>
          <w:rtl w:val="0"/>
        </w:rPr>
      </w:pPr>
      <w:r>
        <w:rPr>
          <w:rStyle w:val="C11"/>
          <w:rtl w:val="0"/>
        </w:rPr>
        <w:t>a) Popsat důvody, pro které není možné některé doplňkové látky vzájemně smíchat (inkompatibilita)</w:t>
      </w:r>
    </w:p>
    <w:p>
      <w:pPr>
        <w:pStyle w:val="P28"/>
        <w:framePr w:w="3921" w:h="607" w:hRule="exact" w:wrap="none" w:vAnchor="page" w:hAnchor="margin" w:x="6800" w:y="13603"/>
        <w:rPr>
          <w:rStyle w:val="C3"/>
          <w:rtl w:val="0"/>
        </w:rPr>
      </w:pPr>
    </w:p>
    <w:p>
      <w:pPr>
        <w:pStyle w:val="P29"/>
        <w:framePr w:w="3839" w:h="480" w:hRule="exact" w:wrap="none" w:vAnchor="page" w:hAnchor="margin" w:x="6856" w:y="13659"/>
        <w:rPr>
          <w:rStyle w:val="C21"/>
          <w:rtl w:val="0"/>
        </w:rPr>
      </w:pPr>
      <w:r>
        <w:rPr>
          <w:rStyle w:val="C21"/>
          <w:rtl w:val="0"/>
        </w:rPr>
        <w:t>Ústní ověření</w:t>
      </w:r>
    </w:p>
    <w:p>
      <w:pPr>
        <w:pStyle w:val="P16"/>
        <w:framePr w:w="6710" w:h="376" w:hRule="exact" w:wrap="none" w:vAnchor="page" w:hAnchor="margin" w:x="45" w:y="14210"/>
        <w:rPr>
          <w:rStyle w:val="C3"/>
          <w:rtl w:val="0"/>
        </w:rPr>
      </w:pPr>
    </w:p>
    <w:p>
      <w:pPr>
        <w:pStyle w:val="P17"/>
        <w:framePr w:w="6658" w:h="249" w:hRule="exact" w:wrap="none" w:vAnchor="page" w:hAnchor="margin" w:x="71" w:y="14266"/>
        <w:rPr>
          <w:rStyle w:val="C13"/>
          <w:rtl w:val="0"/>
        </w:rPr>
      </w:pPr>
      <w:r>
        <w:rPr>
          <w:rStyle w:val="C13"/>
          <w:rtl w:val="0"/>
        </w:rPr>
        <w:t>b) Uvést možná zdravotní rizika při manipulaci s doplňkovými látkami</w:t>
      </w:r>
    </w:p>
    <w:p>
      <w:pPr>
        <w:pStyle w:val="P30"/>
        <w:framePr w:w="3921" w:h="376" w:hRule="exact" w:wrap="none" w:vAnchor="page" w:hAnchor="margin" w:x="6800" w:y="14210"/>
        <w:rPr>
          <w:rStyle w:val="C3"/>
          <w:rtl w:val="0"/>
        </w:rPr>
      </w:pPr>
    </w:p>
    <w:p>
      <w:pPr>
        <w:pStyle w:val="P31"/>
        <w:framePr w:w="3839" w:h="249" w:hRule="exact" w:wrap="none" w:vAnchor="page" w:hAnchor="margin" w:x="6856" w:y="14266"/>
        <w:rPr>
          <w:rStyle w:val="C22"/>
          <w:rtl w:val="0"/>
        </w:rPr>
      </w:pPr>
      <w:r>
        <w:rPr>
          <w:rStyle w:val="C22"/>
          <w:rtl w:val="0"/>
        </w:rPr>
        <w:t>Ústní ověření</w:t>
      </w:r>
    </w:p>
    <w:p>
      <w:pPr>
        <w:pStyle w:val="P12"/>
        <w:framePr w:w="6710" w:h="376" w:hRule="exact" w:wrap="none" w:vAnchor="page" w:hAnchor="margin" w:x="45" w:y="14586"/>
        <w:rPr>
          <w:rStyle w:val="C3"/>
          <w:rtl w:val="0"/>
        </w:rPr>
      </w:pPr>
    </w:p>
    <w:p>
      <w:pPr>
        <w:pStyle w:val="P13"/>
        <w:framePr w:w="6658" w:h="249" w:hRule="exact" w:wrap="none" w:vAnchor="page" w:hAnchor="margin" w:x="71" w:y="14642"/>
        <w:rPr>
          <w:rStyle w:val="C11"/>
          <w:rtl w:val="0"/>
        </w:rPr>
      </w:pPr>
      <w:r>
        <w:rPr>
          <w:rStyle w:val="C11"/>
          <w:rtl w:val="0"/>
        </w:rPr>
        <w:t>c) Charakterizovat chemicko-fyzikální vlastnosti určené doplňkové látky</w:t>
      </w:r>
    </w:p>
    <w:p>
      <w:pPr>
        <w:pStyle w:val="P28"/>
        <w:framePr w:w="3921" w:h="376" w:hRule="exact" w:wrap="none" w:vAnchor="page" w:hAnchor="margin" w:x="6800" w:y="14586"/>
        <w:rPr>
          <w:rStyle w:val="C3"/>
          <w:rtl w:val="0"/>
        </w:rPr>
      </w:pPr>
    </w:p>
    <w:p>
      <w:pPr>
        <w:pStyle w:val="P29"/>
        <w:framePr w:w="3839" w:h="249" w:hRule="exact" w:wrap="none" w:vAnchor="page" w:hAnchor="margin" w:x="6856" w:y="14642"/>
        <w:rPr>
          <w:rStyle w:val="C21"/>
          <w:rtl w:val="0"/>
        </w:rPr>
      </w:pPr>
      <w:r>
        <w:rPr>
          <w:rStyle w:val="C21"/>
          <w:rtl w:val="0"/>
        </w:rPr>
        <w:t>Ústní ověření</w:t>
      </w:r>
    </w:p>
    <w:p>
      <w:pPr>
        <w:pStyle w:val="P32"/>
        <w:framePr w:w="10710" w:h="248" w:hRule="exact" w:wrap="none" w:vAnchor="page" w:hAnchor="margin" w:x="28" w:y="15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linky pro výrobu premixů, 1.8.2026 22:12:33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registru doplňkových látek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premixů, 1.8.2026 22:12:33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oboru.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premixy“ probíhá zkoušení až do iniciace výrobní linky.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7171"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magisterské vzdělání zemědělského nebo veterinárního směru a minimálně 10 let praxe ve výrobě krmných směsí nebo premixů, z toho minimálně jeden rok v období posledních dvou let před podáním žádosti o udělení autorizace.</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zemědělského nebo veterinárního směru a vysokoškolské magisterské vzdělání a minimálně 12 let praxe ve výrobě krmných směsí nebo premixů, z toho minimálně jeden rok v období posledních dvou let před podáním žádosti o udělení autorizace.</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Operátor linky pro výrobu premixů, 1.8.2026 22:12:33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výrobna premixů, vzorkovací pomůcky, ochranné pracovní prostředky.</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458"/>
        <w:rPr>
          <w:rStyle w:val="C3"/>
          <w:rtl w:val="0"/>
        </w:rPr>
      </w:pPr>
    </w:p>
    <w:p>
      <w:pPr>
        <w:pStyle w:val="P35"/>
        <w:framePr w:w="10710" w:h="340" w:hRule="exact" w:wrap="none" w:vAnchor="page" w:hAnchor="margin" w:x="28" w:y="4458"/>
        <w:rPr>
          <w:rStyle w:val="C25"/>
          <w:rtl w:val="0"/>
        </w:rPr>
      </w:pPr>
      <w:r>
        <w:rPr>
          <w:rStyle w:val="C25"/>
          <w:rtl w:val="0"/>
        </w:rPr>
        <w:t>Doba přípravy na zkoušku</w:t>
      </w:r>
    </w:p>
    <w:p>
      <w:pPr>
        <w:keepNext w:val="0"/>
        <w:keepLines w:val="0"/>
        <w:framePr w:w="10766" w:h="1036" w:hRule="exact" w:wrap="none" w:vAnchor="page" w:hAnchor="margin" w:x="0" w:y="4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pro vykonání zkoušky</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linky pro výrobu premixů, 1.8.2026 22:12:33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pStyle w:val="P21"/>
        <w:framePr w:w="7654" w:h="331" w:hRule="exact" w:wrap="none" w:vAnchor="page" w:hAnchor="margin" w:x="28" w:y="15940"/>
        <w:rPr>
          <w:rStyle w:val="C16"/>
          <w:rtl w:val="0"/>
        </w:rPr>
      </w:pPr>
      <w:r>
        <w:rPr>
          <w:rStyle w:val="C16"/>
          <w:rtl w:val="0"/>
        </w:rPr>
        <w:t>Operátor linky pro výrobu premixů, 1.8.2026 22:12:33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