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806DB" Type="http://schemas.openxmlformats.org/officeDocument/2006/relationships/officeDocument" Target="/word/document.xml" /><Relationship Id="coreR1C5806DB" Type="http://schemas.openxmlformats.org/package/2006/relationships/metadata/core-properties" Target="/docProps/core.xml" /><Relationship Id="customR1C580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31.10.2012 do: 20.10.2019</w:t>
      </w:r>
    </w:p>
    <w:p>
      <w:pPr>
        <w:pStyle w:val="P21"/>
        <w:framePr w:w="7654" w:h="331" w:hRule="exact" w:wrap="none" w:vAnchor="page" w:hAnchor="margin" w:x="28" w:y="15940"/>
        <w:rPr>
          <w:rStyle w:val="C16"/>
          <w:rtl w:val="0"/>
        </w:rPr>
      </w:pPr>
      <w:r>
        <w:rPr>
          <w:rStyle w:val="C16"/>
          <w:rtl w:val="0"/>
        </w:rPr>
        <w:t>Specialista poradenství a prodeje krmných směsí, 28.4.2026 23:07:45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28.4.2026 23:07:45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28.4.2026 23:07:45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 krmivářství.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„Poradenství v oboru krmivářství zaměřené na zavádění nových trendů, postupů a řešení nabídky u zákazníků“ bude ověřována na připravené modelové situaci. Budou zadány např.: parametry zemědělského podniku, druh a kategorie hospodářských zvířat, zdravotní stav, technologie chovu.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se kompetence ověřuje.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240"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nebo poradenství a prodeji krmných směsí nebo premixů, z toho minimálně jeden rok v období posledních dvou let před podáním žádosti o udělení autorizace.</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Specialista poradenství a prodeje krmných směsí, 28.4.2026 23:07:45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28.4.2026 23:07:45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Specialista poradenství a prodeje krmných směsí, 28.4.2026 23:07:45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