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7F6CC" Type="http://schemas.openxmlformats.org/officeDocument/2006/relationships/officeDocument" Target="/word/document.xml" /><Relationship Id="coreR7867F6CC" Type="http://schemas.openxmlformats.org/package/2006/relationships/metadata/core-properties" Target="/docProps/core.xml" /><Relationship Id="customR7867F6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jatečními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31.10.2012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probíhat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nařízením Rady (ES) č. 1099/2009 ze dne 24. září 2009 o ochraně zvířat při usmrcování.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