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D47A4B" Type="http://schemas.openxmlformats.org/officeDocument/2006/relationships/officeDocument" Target="/word/document.xml" /><Relationship Id="coreR49D47A4B" Type="http://schemas.openxmlformats.org/package/2006/relationships/metadata/core-properties" Target="/docProps/core.xml" /><Relationship Id="customR49D47A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děti do zahájení povinné školní docházky (kód: 69-017-M)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Péče o běžně nemocné dítě v domácím ošetřování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dítěte k hygienickým návykům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Uplatňování zásad správného životního stylu podle věku dítěte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metod a forem pedagogické práce s ohledem na věk dítěte/dětí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Řešení nepříznivých výchovných situací z pedagogicko-psychologického hlediska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znalostí o vývojových etapách a socializaci dítěte v praxi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etických principů při práci chůvy a vedení dítěte k morálním hodnotám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pracovněprávních vztazích uplatnitelných v profesním životě chůvy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Provozní a hygienická pravidla při práci s dětmi v zařízení či domácnosti dítěte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02.11.2012 do: 31.07.2014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19:29:25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6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Zdravotní způsobilost je vyžadována. Uchazeč musí být bez logopedické vady.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si pro ověřování kritérií ústní nebo praktickou formou připraví soubor modelových situací, které budou zahrnovat všechny věkové kategorie sledovaného období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0 až 7 let věku dítěte (resp. do zahájení povinné školní docházky).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 se, aby autorizovaná osoba kladla při zkoušení větší důraz na ověřování kompetencí a) až d) z oblasti poskytování první pomoci.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Bližší pokyny k realizaci a zkoušce vybraných odborných kompetencí a kritérií hodnocení: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kompetence Uplatňování zásad správného životního stylu podle věku dítěte, kritérium c):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organizačními způsoby zajištění stravování se rozumí např. zajištění stravy dítěte prostřednictvím rodičů, dovoz jídla i možnosti přípravy studené či teplé stravy z vlastních zdrojů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případě, že ústní ověřování bude realizováno formou losování otázek, je nutné dodržet následující pravidla: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Pro celkový soubor otázek: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písemné ověřování bude realizováno formou testu, je nutné dodržet následující pravidla: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písemných testů jako způsobu ověřování: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splňovat následující pravidla: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D. Při každé zkoušce musí být ověřeny všechny kompetence kvalifikačního standardu. To znamená, že v případě, kdy se některé kompetence nebo kritéria ověřují pomocí testů, musí být splněné následující dvě podmínky: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103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80 % správně zodpovězených otázek s tím, že pro každé kritérium musí být správně zodpovězeno alespoň 80 % 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19:29:25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ostatní služby, ustavená a licencovaná pro tuto činnost HK ČR a SP ČR. 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Domestica 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BIBO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Pohoda 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Harmonie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centrum služeb pro domácnost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19:29:25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