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9BE6D0" Type="http://schemas.openxmlformats.org/officeDocument/2006/relationships/officeDocument" Target="/word/document.xml" /><Relationship Id="coreR1B9BE6D0" Type="http://schemas.openxmlformats.org/package/2006/relationships/metadata/core-properties" Target="/docProps/core.xml" /><Relationship Id="customR1B9BE6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Kovář/kovářka strojní (kód: 21-015-H)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 strojní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zhotovování výkovků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strojního kování, tvarování, ohýbání kovů, ohřevu materiálu v kovářských pecích a výhních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kovářských pecí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tvářecích 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zařízení pro tepelné zpracování výkovků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Dokončovací práce na výkovcích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Mazání při kování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Kování neželezných kovů a slitin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Manipulace s materiálem, prostředky pro manipulaci s materiálem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Ošetření a běžná údržba zařízení kovárny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v kovárně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Kovář/kovářka strojní, 13.9.2026 16:33:25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1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https://www.nsp.cz/jednotka-prace/kovar-strojni-0052#zdravotni-zpusobilost).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více kombinací splnění kritérií (např. u kompetence „Volba postupu práce a technologických podmínek strojního kování, tvarování, ohýbání kovů, ohřevu materiálu v kovářských pecích a výhních“ kde je možná kombinace kritérií a) + b) kování do zápustků, nebo b) + c) kování volné, s rozdílnou technologií a rozdílným vybavením kovárny) zkoušející sdělí a nejpozději spolu s pozvánkou zašle uchazeči o zkoušku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Kovář/kovářka strojní, 13.9.2026 16:33:25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KOVÁRNA VIVA,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Kovář/kovářka strojní, 13.9.2026 16:33:25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