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60D39" Type="http://schemas.openxmlformats.org/officeDocument/2006/relationships/officeDocument" Target="/word/document.xml" /><Relationship Id="coreR35B60D39" Type="http://schemas.openxmlformats.org/package/2006/relationships/metadata/core-properties" Target="/docProps/core.xml" /><Relationship Id="customR35B60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ručního kování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Nakreslit pro danou strojní součást náčrt postupu kování</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a písemné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Stanovit postup výroby volně kovaného výkovku, určit potřebné stroje, zařízení, nástroje, nářadí a pomůcky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a písemné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Stanovit způsob kontroly přesnosti výkovku (měřidla, šablona apod.)</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a písemné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Ruční kování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Ručně naostřit sekáč nebo podobný nástroj včetně zakalení a popuštění vnitřním teplem</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Ručně ohnout (popř. ve dvojici) tlusté plechy, tyčový a profilový materiál do předepsaného tvaru za tepla</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d) Vykovat obráběcí nůž z rychlořezné oceli</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Vykovat kladivo nebo jiný ruční nástroj</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f) Vykovat jeřábový hák</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g) Spojit řetěz</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Praktické předvedení</w:t>
      </w:r>
    </w:p>
    <w:p>
      <w:pPr>
        <w:pStyle w:val="P32"/>
        <w:framePr w:w="10710" w:h="248" w:hRule="exact" w:wrap="none" w:vAnchor="page" w:hAnchor="margin" w:x="28" w:y="13700"/>
        <w:rPr>
          <w:rStyle w:val="C23"/>
          <w:rtl w:val="0"/>
        </w:rPr>
      </w:pPr>
      <w:r>
        <w:rPr>
          <w:rStyle w:val="C23"/>
          <w:rtl w:val="0"/>
        </w:rPr>
        <w:t>Je třeba splnit kritérium a) a další 3 z kritérií b) – g).</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a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údržba kovářských pecí nebo výhní nebo bucharů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denní ošetření výhně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denní ošetření peci, která je vytápěna plynem</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denní ošetření bucharu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Ruční kování neželezných kovů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Určit teploty ohřevu neželezných kovů a slitin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Uvést do provozu odporovou ohřívací pec</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tepelné zpracování neželezných kovů a slitin</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Tepelné zpracování ručně kovaných výkovků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Uložit vsázku do výhně nebo do plynové komorové pece</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kalení s popouštěním vnitřním teplem</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Provést kalení s následným popouštěním v peci</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a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5"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Dílnu kovárny s potřebným vybavením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tyče a profily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13.9.2026 15:40:54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