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DF7D7" Type="http://schemas.openxmlformats.org/officeDocument/2006/relationships/officeDocument" Target="/word/document.xml" /><Relationship Id="coreR406DF7D7" Type="http://schemas.openxmlformats.org/package/2006/relationships/metadata/core-properties" Target="/docProps/core.xml" /><Relationship Id="customR406DF7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způsobu, zpracování, nástrojů a materiálů pro zhotovování výrobků ze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dýhování a laminátování nábytku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Příprava, úprava a opracování surovin a materiálů podle technologického postupu pro dýhování a laminátování nábytku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dýhování a laminátování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28.10.2026 22:19:20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rozhodující výsledná kvalita výrobku s přihlédnutím na jeho funkčnost, užitnou hodnotu a ekonomičnost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28.10.2026 22:19:20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28.10.2026 22:19:20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