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0E712" Type="http://schemas.openxmlformats.org/officeDocument/2006/relationships/officeDocument" Target="/word/document.xml" /><Relationship Id="coreR7200E712" Type="http://schemas.openxmlformats.org/package/2006/relationships/metadata/core-properties" Target="/docProps/core.xml" /><Relationship Id="customR7200E7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dýhování a laminátování nábytku (kód: 33-016-H)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dýhování a laminátování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 a materiálů pro zhotovování výrobků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pro dýhování a laminátování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dřevařské a nábytkářské výrobě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dýhování a laminátování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28.10.2026 20:21:07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výrobě 10 kusů nábytkových polotovarů za použití různých druhů a tlouštěk nosných materiálů (polotvrdá dřevovláknitá deska /MDF/, dřevotřísková deska /DTD/, laťovka) s využitím běžně používaných technologických postupů a při dodržování standardně dovolených tolerancí. Jako povrchový (dokončovací) materiál použít dýhové sesazenky a laminát různých tloušťek.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přípravu nosného a povrchového materiálu, kontrolu kvality a případnou opravu, kontrolu, seřízení a nastavení nanášecího a lisovacího zařízení, výběr lepidla a jeho nanesení, lisování připravených souborů, kontrolu kvality zhotovených polotovarů a jejich případnou opravu, údržbu nanášecího a lisovacího zařízení.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28.10.2026 20:21:07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dýhování a laminátování nábytku, 28.10.2026 20:21:07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