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0807DF3" Type="http://schemas.openxmlformats.org/officeDocument/2006/relationships/officeDocument" Target="/word/document.xml" /><Relationship Id="coreR10807DF3" Type="http://schemas.openxmlformats.org/package/2006/relationships/metadata/core-properties" Target="/docProps/core.xml" /><Relationship Id="customR10807DF3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Obsluha strojů pro zpracování materiálů ve výrobě nábytku (kód: 33-017-H)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Zpracování dřeva a výroba hudebních nástrojů (kód: 33)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Obsluha strojů pro zpracování materiálů ve výrobě nábytku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technických podkladech pro zhotovování truhlářských výrobků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Manipulace s materiálem, polotovary a výrobky a jejich značkování v dřevařství, při výrobě nábytkářských výrobků</w:t>
      </w:r>
    </w:p>
    <w:p>
      <w:pPr>
        <w:pStyle w:val="P18"/>
        <w:framePr w:w="805" w:h="607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Seřizování a údržba dřevoobráběcích strojů a nástrojů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Obsluha dřevoobráběcích strojů a strojních zařízení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Obrábění a spojování materiálů ze dřeva, plastu, kovů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Nakládání s odpadem z truhlářské výroby při obsluze strojů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833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674"/>
        <w:rPr>
          <w:rStyle w:val="C15"/>
          <w:rtl w:val="0"/>
        </w:rPr>
      </w:pPr>
      <w:r>
        <w:rPr>
          <w:rStyle w:val="C15"/>
          <w:rtl w:val="0"/>
        </w:rPr>
        <w:t>Standard je platný od: 05.02.2019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strojů pro zpracování materiálů ve výrobě nábytku, 11.9.2026 20:23:34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220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15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15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vykonávání pracovních činností této profesní kvalifikace je vyžadována a prokazuje se lékařským potvrzením (odkaz na povolání v NSP - https://www.nsp.cz/jednotka-prace/obsluha-stroju-pro-zpraco#zdravotni-zpusobilost).</w:t>
      </w:r>
    </w:p>
    <w:p>
      <w:pPr>
        <w:keepNext w:val="0"/>
        <w:keepLines w:val="0"/>
        <w:framePr w:w="10766" w:h="115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5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Ověřování kritérií hodnocení povede ke zhotovení dílců, včetně provedení konstrukčních spojů, pro minimálně dva výrobky s využitím běžně používaných technologických postupů a bude kladen důraz na volbu postupu práce a vhodného materiálu s přihlédnutím na samostatnost rozhodování a ekonomické hledisko výroby. </w:t>
      </w:r>
    </w:p>
    <w:p>
      <w:pPr>
        <w:keepNext w:val="0"/>
        <w:keepLines w:val="0"/>
        <w:framePr w:w="10766" w:h="115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5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zadávání úkolů je vhodné zaměřit se na práci s dodanou konstrukční a technologickou dokumentací, volbu postupu práce, způsobu zpracování, nástrojů a materiálů pro zhotovení požadovaného nábytkářského výrobku, manipulaci s materiálem, strojní obrábění dřevěných a plastových materiálů (hrubé řezání s odpovídající nadmírou, přesné formátování při dodržení standardně dovolených tolerancí, srovnávání ploch, přesné tloušťkování při dodržení standardně dovolených tolerancí, tvarové frézování, zhotovování konstrukčních spojů řezáním, frézováním, vrtáním a dlabáním při dodržení standardně dovolených tolerancí, broušení masivních a dýhovaných dílců), obsluhu, seřizování a běžnou údržbu dřevoobráběcích strojů a nástrojů. </w:t>
      </w:r>
    </w:p>
    <w:p>
      <w:pPr>
        <w:keepNext w:val="0"/>
        <w:keepLines w:val="0"/>
        <w:framePr w:w="10766" w:h="115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5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hodnocení založených na praktickém předvedení je třeba přihlížet především k bezpečnému provádění všech úkonů, ke kvalitě zhotoveného výrobku i k časovému hledisku zvládání operací.</w:t>
      </w:r>
    </w:p>
    <w:p>
      <w:pPr>
        <w:keepNext w:val="0"/>
        <w:keepLines w:val="0"/>
        <w:framePr w:w="10766" w:h="115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5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připraví výrobu polotovarů, dílců pro nábytkářskou výrobu tak, aby uchazeč prokázal zvládnutí obsluhy minimálně těchto osmi truhlářských strojů:</w:t>
      </w:r>
    </w:p>
    <w:p>
      <w:pPr>
        <w:keepNext w:val="0"/>
        <w:keepLines w:val="1"/>
        <w:framePr w:w="10766" w:h="11519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formátovací kotoučová pila s průměrem kotouče minimálně 300 mm</w:t>
      </w:r>
    </w:p>
    <w:p>
      <w:pPr>
        <w:keepNext w:val="0"/>
        <w:keepLines w:val="1"/>
        <w:framePr w:w="10766" w:h="11519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stojanová pásová pila</w:t>
      </w:r>
    </w:p>
    <w:p>
      <w:pPr>
        <w:keepNext w:val="0"/>
        <w:keepLines w:val="1"/>
        <w:framePr w:w="10766" w:h="11519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srovnávací frézka minimální šíře záběru 300 mm</w:t>
      </w:r>
    </w:p>
    <w:p>
      <w:pPr>
        <w:keepNext w:val="0"/>
        <w:keepLines w:val="1"/>
        <w:framePr w:w="10766" w:h="11519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tloušťkovací frézka minimální šíře záběru 300 mm</w:t>
      </w:r>
    </w:p>
    <w:p>
      <w:pPr>
        <w:keepNext w:val="0"/>
        <w:keepLines w:val="1"/>
        <w:framePr w:w="10766" w:h="11519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spodní stolová frézka s průměrem hřídele 30 mm</w:t>
      </w:r>
    </w:p>
    <w:p>
      <w:pPr>
        <w:keepNext w:val="0"/>
        <w:keepLines w:val="1"/>
        <w:framePr w:w="10766" w:h="11519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vrtací dlabačka s upínací hlavou do minimálního průměru 25 mm</w:t>
      </w:r>
    </w:p>
    <w:p>
      <w:pPr>
        <w:keepNext w:val="0"/>
        <w:keepLines w:val="1"/>
        <w:framePr w:w="10766" w:h="11519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stojanová vrtačka se sklíčidlem do průměru 13 mm</w:t>
      </w:r>
    </w:p>
    <w:p>
      <w:pPr>
        <w:keepNext w:val="0"/>
        <w:keepLines w:val="1"/>
        <w:framePr w:w="10766" w:h="11519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pásová bruska s minimální šíří brusného pásu 150 mm</w:t>
      </w:r>
    </w:p>
    <w:p>
      <w:pPr>
        <w:keepNext w:val="0"/>
        <w:keepLines w:val="0"/>
        <w:framePr w:w="10766" w:h="115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5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ověřování odborných kompetencí:</w:t>
      </w:r>
    </w:p>
    <w:p>
      <w:pPr>
        <w:keepNext w:val="0"/>
        <w:keepLines w:val="1"/>
        <w:framePr w:w="10766" w:h="11519" w:hRule="exact" w:wrap="none" w:vAnchor="page" w:hAnchor="margin" w:x="0" w:y="2835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Orientace v technických podkladech pro zhotovování truhlářských výrobků: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autorizovaná osoba posoudí, jak se uchazeč pomocí čtení výkresů orientuje v technické dokumentac a jak využívá PC při zpracování textů a tabulek pro evidenci výroby.</w:t>
      </w:r>
    </w:p>
    <w:p>
      <w:pPr>
        <w:keepNext w:val="0"/>
        <w:keepLines w:val="1"/>
        <w:framePr w:w="10766" w:h="11519" w:hRule="exact" w:wrap="none" w:vAnchor="page" w:hAnchor="margin" w:x="0" w:y="2835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Manipulace s materiálem, polotovary a výrobky a jejich značkování v dřevařství, při výrobě nábytkářských výrobků: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autorizovaná osoba posoudí, jak uchazeč zvládá výběr kvalitního materiálu, strojů a pomůcek při výrobě polotovarů dle zadání.</w:t>
      </w:r>
    </w:p>
    <w:p>
      <w:pPr>
        <w:keepNext w:val="0"/>
        <w:keepLines w:val="1"/>
        <w:framePr w:w="10766" w:h="11519" w:hRule="exact" w:wrap="none" w:vAnchor="page" w:hAnchor="margin" w:x="0" w:y="2835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Seřizování a údržba dřevoobráběcích strojů a nástrojů: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autorizovaná osoba posuzuje, jak uchazeč zdůvodní volbu a použití strojů, nástrojů, pomůcek, jejich údržbu, ošetření a uložení při dodržování BOZP.</w:t>
      </w:r>
    </w:p>
    <w:p>
      <w:pPr>
        <w:keepNext w:val="0"/>
        <w:keepLines w:val="1"/>
        <w:framePr w:w="10766" w:h="11519" w:hRule="exact" w:wrap="none" w:vAnchor="page" w:hAnchor="margin" w:x="0" w:y="2835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Obsluha dřevoobráběcích strojů a strojních zařízení: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autorizovaná osoba posoudí, jak uchazeč zvládl obsluhu minimálně osmi druhů truhlářských strojů.</w:t>
      </w:r>
    </w:p>
    <w:p>
      <w:pPr>
        <w:keepNext w:val="0"/>
        <w:keepLines w:val="1"/>
        <w:framePr w:w="10766" w:h="11519" w:hRule="exact" w:wrap="none" w:vAnchor="page" w:hAnchor="margin" w:x="0" w:y="2835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Obrábění a spojování materiálů ze dřeva, plastu, kovů: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uchazeč popíše základní druhy obráběcích nástrojů s ohledem na jejich důležité parametry. Autorizovaná osoba sleduje a posuzuje uchazeče při volbě a použití strojů a nástrojů, pracovních postupů opracování materiálů.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strojů pro zpracování materiálů ve výrobě nábytku, 11.9.2026 20:23:34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dřevozpracující a papírenský průmysl,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KODA, s. r. o., Blatno 118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ESOZ Chomutov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KERNER, s. r. o., Chomutov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SŠ stavební a dřevozpracující Ostrava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LINETA, a. s., Praha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strojů pro zpracování materiálů ve výrobě nábytku, 11.9.2026 20:23:34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367A226F"/>
    <w:multiLevelType w:val="hybridMultilevel"/>
    <w:lvl w:ilvl="0" w:tplc="00000100">
      <w:start w:val="1"/>
      <w:numFmt w:val="decimal"/>
      <w:suff w:val="tab"/>
      <w:lvlText w:val="%1)"/>
      <w:lvlJc w:val="left"/>
      <w:pPr>
        <w:widowControl w:val="0"/>
        <w:ind w:hanging="360" w:left="360"/>
      </w:pPr>
      <w:rPr>
        <w:rFonts w:ascii="Arial" w:cs="Arial" w:hAnsi="Arial" w:eastAsia="Arial"/>
      </w:rPr>
    </w:lvl>
    <w:lvl w:ilvl="1" w:tplc="00000101">
      <w:start w:val="1"/>
      <w:numFmt w:val="decimal"/>
      <w:suff w:val="tab"/>
      <w:lvlText w:val="%2)"/>
      <w:lvlJc w:val="left"/>
      <w:pPr>
        <w:widowControl w:val="0"/>
        <w:ind w:hanging="360" w:left="720"/>
      </w:pPr>
      <w:rPr>
        <w:rFonts w:ascii="Arial" w:cs="Arial" w:hAnsi="Arial" w:eastAsia="Arial"/>
      </w:rPr>
    </w:lvl>
    <w:lvl w:ilvl="2" w:tplc="00000102">
      <w:start w:val="1"/>
      <w:numFmt w:val="decimal"/>
      <w:suff w:val="tab"/>
      <w:lvlText w:val="%3)"/>
      <w:lvlJc w:val="left"/>
      <w:pPr>
        <w:widowControl w:val="0"/>
        <w:ind w:hanging="360" w:left="1080"/>
      </w:pPr>
      <w:rPr>
        <w:rFonts w:ascii="Arial" w:cs="Arial" w:hAnsi="Arial" w:eastAsia="Arial"/>
      </w:rPr>
    </w:lvl>
    <w:lvl w:ilvl="3" w:tplc="00000103">
      <w:start w:val="1"/>
      <w:numFmt w:val="decimal"/>
      <w:suff w:val="tab"/>
      <w:lvlText w:val="%4)"/>
      <w:lvlJc w:val="left"/>
      <w:pPr>
        <w:widowControl w:val="0"/>
        <w:ind w:hanging="360" w:left="1440"/>
      </w:pPr>
      <w:rPr>
        <w:rFonts w:ascii="Arial" w:cs="Arial" w:hAnsi="Arial" w:eastAsia="Arial"/>
      </w:rPr>
    </w:lvl>
    <w:lvl w:ilvl="4" w:tplc="00000104">
      <w:start w:val="1"/>
      <w:numFmt w:val="decimal"/>
      <w:suff w:val="tab"/>
      <w:lvlText w:val="%5)"/>
      <w:lvlJc w:val="left"/>
      <w:pPr>
        <w:widowControl w:val="0"/>
        <w:ind w:hanging="360" w:left="1800"/>
      </w:pPr>
      <w:rPr>
        <w:rFonts w:ascii="Arial" w:cs="Arial" w:hAnsi="Arial" w:eastAsia="Arial"/>
      </w:rPr>
    </w:lvl>
    <w:lvl w:ilvl="5" w:tplc="00000105">
      <w:start w:val="1"/>
      <w:numFmt w:val="decimal"/>
      <w:suff w:val="tab"/>
      <w:lvlText w:val="%6)"/>
      <w:lvlJc w:val="left"/>
      <w:pPr>
        <w:widowControl w:val="0"/>
        <w:ind w:hanging="360" w:left="2160"/>
      </w:pPr>
      <w:rPr>
        <w:rFonts w:ascii="Arial" w:cs="Arial" w:hAnsi="Arial" w:eastAsia="Arial"/>
      </w:rPr>
    </w:lvl>
    <w:lvl w:ilvl="6" w:tplc="00000106">
      <w:start w:val="1"/>
      <w:numFmt w:val="decimal"/>
      <w:suff w:val="tab"/>
      <w:lvlText w:val="%7)"/>
      <w:lvlJc w:val="left"/>
      <w:pPr>
        <w:widowControl w:val="0"/>
        <w:ind w:hanging="360" w:left="2520"/>
      </w:pPr>
      <w:rPr>
        <w:rFonts w:ascii="Arial" w:cs="Arial" w:hAnsi="Arial" w:eastAsia="Arial"/>
      </w:rPr>
    </w:lvl>
    <w:lvl w:ilvl="7" w:tplc="00000107">
      <w:start w:val="1"/>
      <w:numFmt w:val="decimal"/>
      <w:suff w:val="tab"/>
      <w:lvlText w:val="%8)"/>
      <w:lvlJc w:val="left"/>
      <w:pPr>
        <w:widowControl w:val="0"/>
        <w:ind w:hanging="360" w:left="2880"/>
      </w:pPr>
      <w:rPr>
        <w:rFonts w:ascii="Arial" w:cs="Arial" w:hAnsi="Arial" w:eastAsia="Arial"/>
      </w:rPr>
    </w:lvl>
    <w:lvl w:ilvl="8" w:tplc="00000108">
      <w:start w:val="1"/>
      <w:numFmt w:val="decimal"/>
      <w:suff w:val="tab"/>
      <w:lvlText w:val="%9)"/>
      <w:lvlJc w:val="left"/>
      <w:pPr>
        <w:widowControl w:val="0"/>
        <w:ind w:hanging="360" w:left="3240"/>
      </w:pPr>
      <w:rPr>
        <w:rFonts w:ascii="Arial" w:cs="Arial" w:hAnsi="Arial" w:eastAsia="Arial"/>
      </w:rPr>
    </w:lvl>
  </w:abstractNum>
  <w:abstractNum w:abstractNumId="1">
    <w:nsid w:val="0B358BB0"/>
    <w:multiLevelType w:val="hybridMultilevel"/>
    <w:lvl w:ilvl="0" w:tplc="00000109">
      <w:start w:val="1"/>
      <w:numFmt w:val="lowerLetter"/>
      <w:suff w:val="tab"/>
      <w:lvlText w:val="%1)"/>
      <w:lvlJc w:val="left"/>
      <w:pPr>
        <w:widowControl w:val="0"/>
        <w:ind w:hanging="360" w:left="360"/>
      </w:pPr>
      <w:rPr>
        <w:rFonts w:ascii="Arial" w:cs="Arial" w:hAnsi="Arial" w:eastAsia="Arial"/>
      </w:rPr>
    </w:lvl>
    <w:lvl w:ilvl="1" w:tplc="0000010A">
      <w:start w:val="1"/>
      <w:numFmt w:val="decimal"/>
      <w:suff w:val="tab"/>
      <w:lvlText w:val="%2)"/>
      <w:lvlJc w:val="left"/>
      <w:pPr>
        <w:widowControl w:val="0"/>
        <w:ind w:hanging="360" w:left="720"/>
      </w:pPr>
      <w:rPr>
        <w:rFonts w:ascii="Arial" w:cs="Arial" w:hAnsi="Arial" w:eastAsia="Arial"/>
      </w:rPr>
    </w:lvl>
    <w:lvl w:ilvl="2" w:tplc="0000010B">
      <w:start w:val="1"/>
      <w:numFmt w:val="decimal"/>
      <w:suff w:val="tab"/>
      <w:lvlText w:val="%3)"/>
      <w:lvlJc w:val="left"/>
      <w:pPr>
        <w:widowControl w:val="0"/>
        <w:ind w:hanging="360" w:left="1080"/>
      </w:pPr>
      <w:rPr>
        <w:rFonts w:ascii="Arial" w:cs="Arial" w:hAnsi="Arial" w:eastAsia="Arial"/>
      </w:rPr>
    </w:lvl>
    <w:lvl w:ilvl="3" w:tplc="0000010C">
      <w:start w:val="1"/>
      <w:numFmt w:val="decimal"/>
      <w:suff w:val="tab"/>
      <w:lvlText w:val="%4)"/>
      <w:lvlJc w:val="left"/>
      <w:pPr>
        <w:widowControl w:val="0"/>
        <w:ind w:hanging="360" w:left="1440"/>
      </w:pPr>
      <w:rPr>
        <w:rFonts w:ascii="Arial" w:cs="Arial" w:hAnsi="Arial" w:eastAsia="Arial"/>
      </w:rPr>
    </w:lvl>
    <w:lvl w:ilvl="4" w:tplc="0000010D">
      <w:start w:val="1"/>
      <w:numFmt w:val="decimal"/>
      <w:suff w:val="tab"/>
      <w:lvlText w:val="%5)"/>
      <w:lvlJc w:val="left"/>
      <w:pPr>
        <w:widowControl w:val="0"/>
        <w:ind w:hanging="360" w:left="1800"/>
      </w:pPr>
      <w:rPr>
        <w:rFonts w:ascii="Arial" w:cs="Arial" w:hAnsi="Arial" w:eastAsia="Arial"/>
      </w:rPr>
    </w:lvl>
    <w:lvl w:ilvl="5" w:tplc="0000010E">
      <w:start w:val="1"/>
      <w:numFmt w:val="decimal"/>
      <w:suff w:val="tab"/>
      <w:lvlText w:val="%6)"/>
      <w:lvlJc w:val="left"/>
      <w:pPr>
        <w:widowControl w:val="0"/>
        <w:ind w:hanging="360" w:left="2160"/>
      </w:pPr>
      <w:rPr>
        <w:rFonts w:ascii="Arial" w:cs="Arial" w:hAnsi="Arial" w:eastAsia="Arial"/>
      </w:rPr>
    </w:lvl>
    <w:lvl w:ilvl="6" w:tplc="0000010F">
      <w:start w:val="1"/>
      <w:numFmt w:val="decimal"/>
      <w:suff w:val="tab"/>
      <w:lvlText w:val="%7)"/>
      <w:lvlJc w:val="left"/>
      <w:pPr>
        <w:widowControl w:val="0"/>
        <w:ind w:hanging="360" w:left="2520"/>
      </w:pPr>
      <w:rPr>
        <w:rFonts w:ascii="Arial" w:cs="Arial" w:hAnsi="Arial" w:eastAsia="Arial"/>
      </w:rPr>
    </w:lvl>
    <w:lvl w:ilvl="7" w:tplc="00000110">
      <w:start w:val="1"/>
      <w:numFmt w:val="decimal"/>
      <w:suff w:val="tab"/>
      <w:lvlText w:val="%8)"/>
      <w:lvlJc w:val="left"/>
      <w:pPr>
        <w:widowControl w:val="0"/>
        <w:ind w:hanging="360" w:left="2880"/>
      </w:pPr>
      <w:rPr>
        <w:rFonts w:ascii="Arial" w:cs="Arial" w:hAnsi="Arial" w:eastAsia="Arial"/>
      </w:rPr>
    </w:lvl>
    <w:lvl w:ilvl="8" w:tplc="00000111">
      <w:start w:val="1"/>
      <w:numFmt w:val="decimal"/>
      <w:suff w:val="tab"/>
      <w:lvlText w:val="%9)"/>
      <w:lvlJc w:val="left"/>
      <w:pPr>
        <w:widowControl w:val="0"/>
        <w:ind w:hanging="360" w:left="3240"/>
      </w:pPr>
      <w:rPr>
        <w:rFonts w:ascii="Arial" w:cs="Arial" w:hAnsi="Arial" w:eastAsia="Arial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