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169C9" Type="http://schemas.openxmlformats.org/officeDocument/2006/relationships/officeDocument" Target="/word/document.xml" /><Relationship Id="coreR508169C9" Type="http://schemas.openxmlformats.org/package/2006/relationships/metadata/core-properties" Target="/docProps/core.xml" /><Relationship Id="customR50816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dřevařské a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povrchové úpravě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29.10.2026 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musí být zohledněno, že se jedná o koncové operace v technologickém postupu výroby nábytku, tedy o operace, které dotváří a zajišťují finální vzhled hotového výrobku. Ověřování by mělo vést ke kontrole kvality povrchové úpravy.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zejména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nátěrovými hmotami, nábytkovými dílci a jejich kontrola i mezi jednotlivými operacemi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v celém technologickém procesu povrchové úpravy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(zaznamenávání technologie, aplikace a typů materiálů, kontrola počtu dílců)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zařízení, nářadí a pracovních pomůcek potřebných k aplikaci nátěrových hmot.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29.10.2026 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29.10.2026 0:01:55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