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0397D7" Type="http://schemas.openxmlformats.org/officeDocument/2006/relationships/officeDocument" Target="/word/document.xml" /><Relationship Id="coreR1E0397D7" Type="http://schemas.openxmlformats.org/package/2006/relationships/metadata/core-properties" Target="/docProps/core.xml" /><Relationship Id="customR1E0397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Zpracování živočišných tuků, 19.9.2026 15:26:36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ke zpracování živočišných tuků s využitím technologických postupů a hygienických zásad zacházení s živočišnými tuky.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21"/>
        <w:framePr w:w="7654" w:h="331" w:hRule="exact" w:wrap="none" w:vAnchor="page" w:hAnchor="margin" w:x="28" w:y="15940"/>
        <w:rPr>
          <w:rStyle w:val="C16"/>
          <w:rtl w:val="0"/>
        </w:rPr>
      </w:pPr>
      <w:r>
        <w:rPr>
          <w:rStyle w:val="C16"/>
          <w:rtl w:val="0"/>
        </w:rPr>
        <w:t>Zpracování živočišných tuků, 19.9.2026 15:26:36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Zpracování živočišných tuků, 19.9.2026 15:26:36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