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A7A62" Type="http://schemas.openxmlformats.org/officeDocument/2006/relationships/officeDocument" Target="/word/document.xml" /><Relationship Id="coreRF6A7A62" Type="http://schemas.openxmlformats.org/package/2006/relationships/metadata/core-properties" Target="/docProps/core.xml" /><Relationship Id="customRF6A7A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matracových jader; Výrobce matrací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čalounických materiálů a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Tvarování jednotlivých výplňových dílů pro čalounění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materiálem, polotovary i výrobky ve skladech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zásad bezpečnosti práce, používání pracovních pomůcek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29.08.2012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28.10.2026 22:19:07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materiálů i hotových matracových jader musí být v souladu s platnými normami.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Celá zkouška musí probíhat v souladu s platnými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respektování předloženého zadání a technické dokumentace,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použití různých druhů čalounických materiálů, např. pružinových koster, měkkých pěnových materiálů a jiných,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 ověřování kritérií formou praktického předvedení je třeba přihlížet především k bezpečnému provádění všech úkonů a ke kvalitě práce,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rozměry matracového jádra, zda jsou ve správné velikosti vzhledem k požadované velikosti matrace, pro kterou je jádro určeno.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a), b), c) kompetence Dodržování zásad bezpečnosti práce, používání pracovních pomůcek v nábytkářství je třeba ověřovat v rámci ověřování ostatních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28.10.2026 22:19:07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Brno (Ing. R. Sedlák)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 (M. Bednář)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 Brno ‒ Bosonohy (Ing. I. Svobodová)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matracových jader, 28.10.2026 22:19:07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