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3D1D74" Type="http://schemas.openxmlformats.org/officeDocument/2006/relationships/officeDocument" Target="/word/document.xml" /><Relationship Id="coreR123D1D74" Type="http://schemas.openxmlformats.org/package/2006/relationships/metadata/core-properties" Target="/docProps/core.xml" /><Relationship Id="customR123D1D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listovních a balíkových zásilek, včetně dodržování zásad BOZP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zásilek a dokladů při nepravidelnostech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provozních dokladů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žádosti o dosílku, prodloužení úložní doby, opakované doručení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https://www.nsp.cz/jednotka-prace/pracovnik-vnitrni-postovn#zdravotni-zpusobilost).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dvaceti fiktivních poštovních zásilek, včetně zásilek s nepravidelnostmi, 1 žádost o dosílku, 1 žádost opatření adresáta - prodloužení úložní doby, opakované doručení.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