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B8EA9" Type="http://schemas.openxmlformats.org/officeDocument/2006/relationships/officeDocument" Target="/word/document.xml" /><Relationship Id="coreR678B8EA9" Type="http://schemas.openxmlformats.org/package/2006/relationships/metadata/core-properties" Target="/docProps/core.xml" /><Relationship Id="customR678B8E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listovních a balíkových zásilek, včetně dodržování zásad BOZP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provozních dokladů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žádosti o dosílku, prodloužení úložní doby, opakované doručení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https://www.nsp.cz/jednotka-prace/pracovnik-vnitrni-postovn#zdravotni-zpusobilost).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dvaceti fiktivních poštovních zásilek, včetně zásilek s nepravidelnostmi, 1 žádost o dosílku, 1 žádost opatření adresáta - prodloužení úložní doby, opakované doručení.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