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5B34FC" Type="http://schemas.openxmlformats.org/officeDocument/2006/relationships/officeDocument" Target="/word/document.xml" /><Relationship Id="coreR105B34FC" Type="http://schemas.openxmlformats.org/package/2006/relationships/metadata/core-properties" Target="/docProps/core.xml" /><Relationship Id="customR105B34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přepravy I (kód: 37-021-H)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Nakládání, vykládání, tvorba a výměna uzávěrů a nákladních předmětů dle dokladů a elektronických záznamů SW evidence v přepravních uzlech a vyměňovacích poštách,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Vybírání poštovních schránek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třídění listovních a balíkových zásilek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Zajišťování SW evidence ručními snímači čárových kódů a dodržování technologických postupů evidence zásilek I. technologické úrovně</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Zpracování zásilek a dokladů při nepravidelnostech v přepravě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Obsluhování mechanizační techniky při třídění zásilek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Videokódování listovních zásilek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Pracovník poštovní přepravy I, 29.4.2026 0:24:26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Nakládání, vykládání, tvorba a výměna uzávěrů a nákladních předmětů dle dokladů a elektronických záznamů SW evidence v přepravních uzlech a vyměňovacích poštách,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druhy uzávěrů, vytvořit uzávěr</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Naložit a vyložit uzávěr</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Předat nákladní předmět poštovnímu kurzu</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Naložit a vyložit nákladní předmět</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Dodržovat při všech činnostech BOZP</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Praktické předvedení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340" w:hRule="exact" w:wrap="none" w:vAnchor="page" w:hAnchor="margin" w:x="28" w:y="6165"/>
        <w:rPr>
          <w:rStyle w:val="C18"/>
          <w:rtl w:val="0"/>
        </w:rPr>
      </w:pPr>
      <w:r>
        <w:rPr>
          <w:rStyle w:val="C18"/>
          <w:rtl w:val="0"/>
        </w:rPr>
        <w:t>Vybírání poštovních schránek</w:t>
      </w:r>
    </w:p>
    <w:p>
      <w:pPr>
        <w:pStyle w:val="P24"/>
        <w:framePr w:w="6713" w:h="376" w:hRule="exact" w:wrap="none" w:vAnchor="page" w:hAnchor="margin" w:x="45" w:y="6604"/>
        <w:rPr>
          <w:rStyle w:val="C3"/>
          <w:rtl w:val="0"/>
        </w:rPr>
      </w:pPr>
    </w:p>
    <w:p>
      <w:pPr>
        <w:pStyle w:val="P25"/>
        <w:framePr w:w="6661" w:h="249" w:hRule="exact" w:wrap="none" w:vAnchor="page" w:hAnchor="margin" w:x="71" w:y="6675"/>
        <w:rPr>
          <w:rStyle w:val="C19"/>
          <w:rtl w:val="0"/>
        </w:rPr>
      </w:pPr>
      <w:r>
        <w:rPr>
          <w:rStyle w:val="C19"/>
          <w:rtl w:val="0"/>
        </w:rPr>
        <w:t>Kritéria hodnocení</w:t>
      </w:r>
    </w:p>
    <w:p>
      <w:pPr>
        <w:pStyle w:val="P26"/>
        <w:framePr w:w="3918" w:h="376" w:hRule="exact" w:wrap="none" w:vAnchor="page" w:hAnchor="margin" w:x="6803" w:y="6604"/>
        <w:rPr>
          <w:rStyle w:val="C3"/>
          <w:rtl w:val="0"/>
        </w:rPr>
      </w:pPr>
    </w:p>
    <w:p>
      <w:pPr>
        <w:pStyle w:val="P27"/>
        <w:framePr w:w="3836" w:h="249" w:hRule="exact" w:wrap="none" w:vAnchor="page" w:hAnchor="margin" w:x="6859" w:y="6675"/>
        <w:rPr>
          <w:rStyle w:val="C20"/>
          <w:rtl w:val="0"/>
        </w:rPr>
      </w:pPr>
      <w:r>
        <w:rPr>
          <w:rStyle w:val="C20"/>
          <w:rtl w:val="0"/>
        </w:rPr>
        <w:t>Způsoby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a) Popsat postup při vybírání zásilek z poštovní schránky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b) Popsat způsob kontroly technického stavu poštovní schránky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Ústní ověření</w:t>
      </w:r>
    </w:p>
    <w:p>
      <w:pPr>
        <w:pStyle w:val="P12"/>
        <w:framePr w:w="6710" w:h="607" w:hRule="exact" w:wrap="none" w:vAnchor="page" w:hAnchor="margin" w:x="45" w:y="7733"/>
        <w:rPr>
          <w:rStyle w:val="C3"/>
          <w:rtl w:val="0"/>
        </w:rPr>
      </w:pPr>
    </w:p>
    <w:p>
      <w:pPr>
        <w:pStyle w:val="P13"/>
        <w:framePr w:w="6658" w:h="480" w:hRule="exact" w:wrap="none" w:vAnchor="page" w:hAnchor="margin" w:x="71" w:y="7789"/>
        <w:rPr>
          <w:rStyle w:val="C11"/>
          <w:rtl w:val="0"/>
        </w:rPr>
      </w:pPr>
      <w:r>
        <w:rPr>
          <w:rStyle w:val="C11"/>
          <w:rtl w:val="0"/>
        </w:rPr>
        <w:t>c) Charakterizovat postup při předání zásilek na stanoveném pracovišti v provozovně České pošty</w:t>
      </w:r>
    </w:p>
    <w:p>
      <w:pPr>
        <w:pStyle w:val="P28"/>
        <w:framePr w:w="3921" w:h="607" w:hRule="exact" w:wrap="none" w:vAnchor="page" w:hAnchor="margin" w:x="6800" w:y="7733"/>
        <w:rPr>
          <w:rStyle w:val="C3"/>
          <w:rtl w:val="0"/>
        </w:rPr>
      </w:pPr>
    </w:p>
    <w:p>
      <w:pPr>
        <w:pStyle w:val="P29"/>
        <w:framePr w:w="3839" w:h="480" w:hRule="exact" w:wrap="none" w:vAnchor="page" w:hAnchor="margin" w:x="6856" w:y="7789"/>
        <w:rPr>
          <w:rStyle w:val="C21"/>
          <w:rtl w:val="0"/>
        </w:rPr>
      </w:pPr>
      <w:r>
        <w:rPr>
          <w:rStyle w:val="C21"/>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Ruční třídění listovních a balíkových zásilek</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Třídit ručně listovní zásilky podle PSČ a instradovacích pomůcek</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 a ústní ověření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b) Třídit ručně balíkové zásilky podle PSČ a instradovacích pomůcek</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obě kritéria.</w:t>
      </w:r>
    </w:p>
    <w:p>
      <w:pPr>
        <w:pStyle w:val="P23"/>
        <w:framePr w:w="10710" w:h="547" w:hRule="exact" w:wrap="none" w:vAnchor="page" w:hAnchor="margin" w:x="28" w:y="11006"/>
        <w:rPr>
          <w:rStyle w:val="C18"/>
          <w:rtl w:val="0"/>
        </w:rPr>
      </w:pPr>
      <w:r>
        <w:rPr>
          <w:rStyle w:val="C18"/>
          <w:rtl w:val="0"/>
        </w:rPr>
        <w:t>Zajišťování SW evidence ručními snímači čárových kódů a dodržování technologických postupů evidence zásilek I. technologické úrovně</w:t>
      </w:r>
    </w:p>
    <w:p>
      <w:pPr>
        <w:pStyle w:val="P24"/>
        <w:framePr w:w="6713" w:h="376" w:hRule="exact" w:wrap="none" w:vAnchor="page" w:hAnchor="margin" w:x="45" w:y="11652"/>
        <w:rPr>
          <w:rStyle w:val="C3"/>
          <w:rtl w:val="0"/>
        </w:rPr>
      </w:pPr>
    </w:p>
    <w:p>
      <w:pPr>
        <w:pStyle w:val="P25"/>
        <w:framePr w:w="6661" w:h="249" w:hRule="exact" w:wrap="none" w:vAnchor="page" w:hAnchor="margin" w:x="71" w:y="11723"/>
        <w:rPr>
          <w:rStyle w:val="C19"/>
          <w:rtl w:val="0"/>
        </w:rPr>
      </w:pPr>
      <w:r>
        <w:rPr>
          <w:rStyle w:val="C19"/>
          <w:rtl w:val="0"/>
        </w:rPr>
        <w:t>Kritéria hodnocení</w:t>
      </w:r>
    </w:p>
    <w:p>
      <w:pPr>
        <w:pStyle w:val="P26"/>
        <w:framePr w:w="3918" w:h="376" w:hRule="exact" w:wrap="none" w:vAnchor="page" w:hAnchor="margin" w:x="6803" w:y="11652"/>
        <w:rPr>
          <w:rStyle w:val="C3"/>
          <w:rtl w:val="0"/>
        </w:rPr>
      </w:pPr>
    </w:p>
    <w:p>
      <w:pPr>
        <w:pStyle w:val="P27"/>
        <w:framePr w:w="3836" w:h="249" w:hRule="exact" w:wrap="none" w:vAnchor="page" w:hAnchor="margin" w:x="6859" w:y="11723"/>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Provést SW evidenci pomocí ručního snímače čárového kódu</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Popsat postup při technických problémech se snímáním</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Ústní ověření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Popsat technologické postupy SW evidence zásilek I. technologické úrovně</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Ústní ověření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Zaevidovat pomocí SW zásilku I. technologické úrovně</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předvedení a ústní ověření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I, 29.4.2026 0:24:26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a dokladů při nepravidelnostech v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zásilku a doklad při nepravidelnosti ve vnitrostátní dopravě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Obsluhování mechanizační techniky při třídění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pracovní postupy pro práci s mechanizační technikou pro třídění zásilek</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Prokázat znalost manuálů a pracovních postupů pro práci s mechanizační technikou pro třídění zásilek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zásady bezpečnosti práce a ochrany zdraví při práci s mechanizační technikou pro třídění poštovních zásilek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Videokódování listovních zásilek</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Videokódovat listovní zásilky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Přiřadit město k příslušnému sběrnému přepravnímu uzlu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poštovní přepravy I, 29.4.2026 0:24:26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prokáže svou totožnost předložením platného osobního dokladu a předloží dokument o nejvyšším dosaženém vzdělání.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I, 29.4.2026 0:24:26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řídící pozici v provozu poštovní přepravy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4"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k používání Českou poštou, s. p. v přepravě</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poštovní přepravy (PC se specializovaným SW České pošty, s. p., snímač, policová třídnice, plombovací kleště, poštovní pytle, pytlovák a motouz)</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103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poštovní přepravy I, 29.4.2026 0:24:26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přepravy I, 29.4.2026 0:24:26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