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A9A20D" Type="http://schemas.openxmlformats.org/officeDocument/2006/relationships/officeDocument" Target="/word/document.xml" /><Relationship Id="coreR1BA9A20D" Type="http://schemas.openxmlformats.org/package/2006/relationships/metadata/core-properties" Target="/docProps/core.xml" /><Relationship Id="customR1BA9A2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technolog (kód: 28-037-M)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Sestavení jednoduchých nebo opakovaných technologických postupů chemického procesu, vypracování příslušné technické dokumentace vč. identifikace rizik, environmentálních aspektů a dopadů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Sběr a vyhodnocení údajů a dat generovaných při monitorování chemického procesu a jejich využití pro řízení procesu v souladu se standardním postupem a legislativními požadavky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Analýza příčin odchylek ve výrobním procesu a návrh opatření na jejich eliminaci či odstranění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Aplikování standardních postupů při vedení chemického procesu včetně legislativních požadavků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Sledování a vyhodnocení podmínek pro vedení chemických procesů a jejich využití pro 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Řízení jednoduchých nebo opakujících se technologických procesů a pracovních postupů chemických výrob vč. legislativních, environmentálních a bezpečnostních aspektů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27.08.2012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technolog, 11.9.2026 20:19:17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http://katalog.nsp.cz/karta_p.aspx?id_jp=30976&amp;kod_sm1=34).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pracující v chemickém provozu nebo chemické laboratoři není povinen před zahájením zkoušky předložit potvrzení o zdravotní způsobilosti.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se, aby měl uchazeč znalosti na úrovni středního vzdělání s výučním listem v chemickém oboru.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jsou ověřovány na komplexních úlohách z praxe. Na jedné úloze je možné ověřit kritéria z několika kompetencí.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se, aby zkouška podle tohoto hodnoticího standardu probíhala v kombinaci prostředí běžného chemického provozu a odborné učebny. V reálném provozu by byly na konkrétních příkladech činností ověřovány odborné způsobilosti v souladu s hodnoticím standardem za přítomnosti odpovědného provozního pracovníka. V odborné učebně by se měla realizovat komunikace mezi zkoušejícím a uchazečem při řešení modelových situací, které by měly simulovat činnosti v konkrétním úseku chemické výroby.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a dovedností je preferován komplexní přístup k řešení zadaného problému, zejména jde o: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prokázání dovedností při vyhledávání legislativních požadavků a jejich aplikace pro řešení zadaného úkolu,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využívání teoretických znalostí při řešení zadaného úkolu,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interpretace odborného textu,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odborné terminologie při ústním i písemném projevu,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a jednoznačné formulace při písemném i ústním vyjadřování,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přehledné grafické uspořádání písemného projevu.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technolog, 11.9.2026 20:19:17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chemii, ustavená a licencovaná pro tuto činnost HK ČR a SP ČR.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technolog, 11.9.2026 20:19:17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