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7D14A" Type="http://schemas.openxmlformats.org/officeDocument/2006/relationships/officeDocument" Target="/word/document.xml" /><Relationship Id="coreR3877D14A" Type="http://schemas.openxmlformats.org/package/2006/relationships/metadata/core-properties" Target="/docProps/core.xml" /><Relationship Id="customR3877D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27.08.2012 do: 29.11.2017</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Specifikovat systém koordinace inovačních aktivit</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Obhájit příklady inovačních aktivit z pohledu ekonomiky, environmentálních aspektů, kvality produktů, splnění požadavků zákazníka apod.</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547" w:hRule="exact" w:wrap="none" w:vAnchor="page" w:hAnchor="margin" w:x="28" w:y="8238"/>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831" w:hRule="exact" w:wrap="none" w:vAnchor="page" w:hAnchor="margin" w:x="45" w:y="9868"/>
        <w:rPr>
          <w:rStyle w:val="C3"/>
          <w:rtl w:val="0"/>
        </w:rPr>
      </w:pPr>
    </w:p>
    <w:p>
      <w:pPr>
        <w:pStyle w:val="P17"/>
        <w:framePr w:w="6658" w:h="704" w:hRule="exact" w:wrap="none" w:vAnchor="page" w:hAnchor="margin" w:x="71" w:y="9924"/>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868"/>
        <w:rPr>
          <w:rStyle w:val="C3"/>
          <w:rtl w:val="0"/>
        </w:rPr>
      </w:pPr>
    </w:p>
    <w:p>
      <w:pPr>
        <w:pStyle w:val="P31"/>
        <w:framePr w:w="3839" w:h="704"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Uvést možné problémy v daném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a 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Navrhnout způsob odstranění vyspecifikovaných možných problémů v daném chemickém provozu</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Vyjmenovat oblasti řízení daného chemického provozu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547" w:hRule="exact" w:wrap="none" w:vAnchor="page" w:hAnchor="margin" w:x="28" w:y="6523"/>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170"/>
        <w:rPr>
          <w:rStyle w:val="C3"/>
          <w:rtl w:val="0"/>
        </w:rPr>
      </w:pPr>
    </w:p>
    <w:p>
      <w:pPr>
        <w:pStyle w:val="P25"/>
        <w:framePr w:w="6661" w:h="249" w:hRule="exact" w:wrap="none" w:vAnchor="page" w:hAnchor="margin" w:x="71" w:y="7241"/>
        <w:rPr>
          <w:rStyle w:val="C19"/>
          <w:rtl w:val="0"/>
        </w:rPr>
      </w:pPr>
      <w:r>
        <w:rPr>
          <w:rStyle w:val="C19"/>
          <w:rtl w:val="0"/>
        </w:rPr>
        <w:t>Kritéria hodnocení</w:t>
      </w:r>
    </w:p>
    <w:p>
      <w:pPr>
        <w:pStyle w:val="P26"/>
        <w:framePr w:w="3918" w:h="376" w:hRule="exact" w:wrap="none" w:vAnchor="page" w:hAnchor="margin" w:x="6803" w:y="7170"/>
        <w:rPr>
          <w:rStyle w:val="C3"/>
          <w:rtl w:val="0"/>
        </w:rPr>
      </w:pPr>
    </w:p>
    <w:p>
      <w:pPr>
        <w:pStyle w:val="P27"/>
        <w:framePr w:w="3836" w:h="249" w:hRule="exact" w:wrap="none" w:vAnchor="page" w:hAnchor="margin" w:x="6859" w:y="7241"/>
        <w:rPr>
          <w:rStyle w:val="C20"/>
          <w:rtl w:val="0"/>
        </w:rPr>
      </w:pPr>
      <w:r>
        <w:rPr>
          <w:rStyle w:val="C20"/>
          <w:rtl w:val="0"/>
        </w:rPr>
        <w:t>Způsoby ověření</w:t>
      </w:r>
    </w:p>
    <w:p>
      <w:pPr>
        <w:pStyle w:val="P12"/>
        <w:framePr w:w="6710" w:h="376" w:hRule="exact" w:wrap="none" w:vAnchor="page" w:hAnchor="margin" w:x="45" w:y="7546"/>
        <w:rPr>
          <w:rStyle w:val="C3"/>
          <w:rtl w:val="0"/>
        </w:rPr>
      </w:pPr>
    </w:p>
    <w:p>
      <w:pPr>
        <w:pStyle w:val="P13"/>
        <w:framePr w:w="6658" w:h="249" w:hRule="exact" w:wrap="none" w:vAnchor="page" w:hAnchor="margin" w:x="71" w:y="7602"/>
        <w:rPr>
          <w:rStyle w:val="C11"/>
          <w:rtl w:val="0"/>
        </w:rPr>
      </w:pPr>
      <w:r>
        <w:rPr>
          <w:rStyle w:val="C11"/>
          <w:rtl w:val="0"/>
        </w:rPr>
        <w:t>a) Popsat druhy motivace</w:t>
      </w:r>
    </w:p>
    <w:p>
      <w:pPr>
        <w:pStyle w:val="P28"/>
        <w:framePr w:w="3921" w:h="376" w:hRule="exact" w:wrap="none" w:vAnchor="page" w:hAnchor="margin" w:x="6800" w:y="7546"/>
        <w:rPr>
          <w:rStyle w:val="C3"/>
          <w:rtl w:val="0"/>
        </w:rPr>
      </w:pPr>
    </w:p>
    <w:p>
      <w:pPr>
        <w:pStyle w:val="P29"/>
        <w:framePr w:w="3839" w:h="249" w:hRule="exact" w:wrap="none" w:vAnchor="page" w:hAnchor="margin" w:x="6856" w:y="7602"/>
        <w:rPr>
          <w:rStyle w:val="C21"/>
          <w:rtl w:val="0"/>
        </w:rPr>
      </w:pPr>
      <w:r>
        <w:rPr>
          <w:rStyle w:val="C21"/>
          <w:rtl w:val="0"/>
        </w:rPr>
        <w:t>Písemné ověření</w:t>
      </w:r>
    </w:p>
    <w:p>
      <w:pPr>
        <w:pStyle w:val="P16"/>
        <w:framePr w:w="6710" w:h="376" w:hRule="exact" w:wrap="none" w:vAnchor="page" w:hAnchor="margin" w:x="45" w:y="7922"/>
        <w:rPr>
          <w:rStyle w:val="C3"/>
          <w:rtl w:val="0"/>
        </w:rPr>
      </w:pPr>
    </w:p>
    <w:p>
      <w:pPr>
        <w:pStyle w:val="P17"/>
        <w:framePr w:w="6658" w:h="249" w:hRule="exact" w:wrap="none" w:vAnchor="page" w:hAnchor="margin" w:x="71" w:y="7978"/>
        <w:rPr>
          <w:rStyle w:val="C13"/>
          <w:rtl w:val="0"/>
        </w:rPr>
      </w:pPr>
      <w:r>
        <w:rPr>
          <w:rStyle w:val="C13"/>
          <w:rtl w:val="0"/>
        </w:rPr>
        <w:t>b) Vysvětlit vztah mezi hodnocením zaměstnanců a jejich motivací</w:t>
      </w:r>
    </w:p>
    <w:p>
      <w:pPr>
        <w:pStyle w:val="P30"/>
        <w:framePr w:w="3921" w:h="376" w:hRule="exact" w:wrap="none" w:vAnchor="page" w:hAnchor="margin" w:x="6800" w:y="7922"/>
        <w:rPr>
          <w:rStyle w:val="C3"/>
          <w:rtl w:val="0"/>
        </w:rPr>
      </w:pPr>
    </w:p>
    <w:p>
      <w:pPr>
        <w:pStyle w:val="P31"/>
        <w:framePr w:w="3839" w:h="249" w:hRule="exact" w:wrap="none" w:vAnchor="page" w:hAnchor="margin" w:x="6856" w:y="7978"/>
        <w:rPr>
          <w:rStyle w:val="C22"/>
          <w:rtl w:val="0"/>
        </w:rPr>
      </w:pPr>
      <w:r>
        <w:rPr>
          <w:rStyle w:val="C22"/>
          <w:rtl w:val="0"/>
        </w:rPr>
        <w:t>Ústní ověření</w:t>
      </w:r>
    </w:p>
    <w:p>
      <w:pPr>
        <w:pStyle w:val="P12"/>
        <w:framePr w:w="6710" w:h="607" w:hRule="exact" w:wrap="none" w:vAnchor="page" w:hAnchor="margin" w:x="45" w:y="8299"/>
        <w:rPr>
          <w:rStyle w:val="C3"/>
          <w:rtl w:val="0"/>
        </w:rPr>
      </w:pPr>
    </w:p>
    <w:p>
      <w:pPr>
        <w:pStyle w:val="P13"/>
        <w:framePr w:w="6658" w:h="480" w:hRule="exact" w:wrap="none" w:vAnchor="page" w:hAnchor="margin" w:x="71" w:y="8355"/>
        <w:rPr>
          <w:rStyle w:val="C11"/>
          <w:rtl w:val="0"/>
        </w:rPr>
      </w:pPr>
      <w:r>
        <w:rPr>
          <w:rStyle w:val="C11"/>
          <w:rtl w:val="0"/>
        </w:rPr>
        <w:t xml:space="preserve">c) Specifikovat komunikaci mezi zaměstnanci a vedením chemického provozu  vedoucí k motivování zaměstnanců</w:t>
      </w:r>
    </w:p>
    <w:p>
      <w:pPr>
        <w:pStyle w:val="P28"/>
        <w:framePr w:w="3921" w:h="607" w:hRule="exact" w:wrap="none" w:vAnchor="page" w:hAnchor="margin" w:x="6800" w:y="8299"/>
        <w:rPr>
          <w:rStyle w:val="C3"/>
          <w:rtl w:val="0"/>
        </w:rPr>
      </w:pPr>
    </w:p>
    <w:p>
      <w:pPr>
        <w:pStyle w:val="P29"/>
        <w:framePr w:w="3839" w:h="480" w:hRule="exact" w:wrap="none" w:vAnchor="page" w:hAnchor="margin" w:x="6856" w:y="8355"/>
        <w:rPr>
          <w:rStyle w:val="C21"/>
          <w:rtl w:val="0"/>
        </w:rPr>
      </w:pPr>
      <w:r>
        <w:rPr>
          <w:rStyle w:val="C21"/>
          <w:rtl w:val="0"/>
        </w:rPr>
        <w:t>Ústní ověření</w:t>
      </w:r>
    </w:p>
    <w:p>
      <w:pPr>
        <w:pStyle w:val="P16"/>
        <w:framePr w:w="6710" w:h="607" w:hRule="exact" w:wrap="none" w:vAnchor="page" w:hAnchor="margin" w:x="45" w:y="8905"/>
        <w:rPr>
          <w:rStyle w:val="C3"/>
          <w:rtl w:val="0"/>
        </w:rPr>
      </w:pPr>
    </w:p>
    <w:p>
      <w:pPr>
        <w:pStyle w:val="P17"/>
        <w:framePr w:w="6658" w:h="480" w:hRule="exact" w:wrap="none" w:vAnchor="page" w:hAnchor="margin" w:x="71" w:y="8961"/>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8905"/>
        <w:rPr>
          <w:rStyle w:val="C3"/>
          <w:rtl w:val="0"/>
        </w:rPr>
      </w:pPr>
    </w:p>
    <w:p>
      <w:pPr>
        <w:pStyle w:val="P31"/>
        <w:framePr w:w="3839" w:h="480" w:hRule="exact" w:wrap="none" w:vAnchor="page" w:hAnchor="margin" w:x="6856" w:y="8961"/>
        <w:rPr>
          <w:rStyle w:val="C22"/>
          <w:rtl w:val="0"/>
        </w:rPr>
      </w:pPr>
      <w:r>
        <w:rPr>
          <w:rStyle w:val="C22"/>
          <w:rtl w:val="0"/>
        </w:rPr>
        <w:t>Praktické předvedení a ústní ověření</w:t>
      </w:r>
    </w:p>
    <w:p>
      <w:pPr>
        <w:pStyle w:val="P12"/>
        <w:framePr w:w="6710" w:h="376" w:hRule="exact" w:wrap="none" w:vAnchor="page" w:hAnchor="margin" w:x="45" w:y="9512"/>
        <w:rPr>
          <w:rStyle w:val="C3"/>
          <w:rtl w:val="0"/>
        </w:rPr>
      </w:pPr>
    </w:p>
    <w:p>
      <w:pPr>
        <w:pStyle w:val="P13"/>
        <w:framePr w:w="6658" w:h="249" w:hRule="exact" w:wrap="none" w:vAnchor="page" w:hAnchor="margin" w:x="71" w:y="9568"/>
        <w:rPr>
          <w:rStyle w:val="C11"/>
          <w:rtl w:val="0"/>
        </w:rPr>
      </w:pPr>
      <w:r>
        <w:rPr>
          <w:rStyle w:val="C11"/>
          <w:rtl w:val="0"/>
        </w:rPr>
        <w:t>e) Vyjmenovat principy řízení týmové práce a vysvětlit její výhody</w:t>
      </w:r>
    </w:p>
    <w:p>
      <w:pPr>
        <w:pStyle w:val="P28"/>
        <w:framePr w:w="3921" w:h="376" w:hRule="exact" w:wrap="none" w:vAnchor="page" w:hAnchor="margin" w:x="6800" w:y="9512"/>
        <w:rPr>
          <w:rStyle w:val="C3"/>
          <w:rtl w:val="0"/>
        </w:rPr>
      </w:pPr>
    </w:p>
    <w:p>
      <w:pPr>
        <w:pStyle w:val="P29"/>
        <w:framePr w:w="3839" w:h="249" w:hRule="exact" w:wrap="none" w:vAnchor="page" w:hAnchor="margin" w:x="6856" w:y="9568"/>
        <w:rPr>
          <w:rStyle w:val="C21"/>
          <w:rtl w:val="0"/>
        </w:rPr>
      </w:pPr>
      <w:r>
        <w:rPr>
          <w:rStyle w:val="C21"/>
          <w:rtl w:val="0"/>
        </w:rPr>
        <w:t>Ústní ověření</w:t>
      </w:r>
    </w:p>
    <w:p>
      <w:pPr>
        <w:pStyle w:val="P32"/>
        <w:framePr w:w="10710" w:h="248" w:hRule="exact" w:wrap="none" w:vAnchor="page" w:hAnchor="margin" w:x="28" w:y="10002"/>
        <w:rPr>
          <w:rStyle w:val="C23"/>
          <w:rtl w:val="0"/>
        </w:rPr>
      </w:pPr>
      <w:r>
        <w:rPr>
          <w:rStyle w:val="C23"/>
          <w:rtl w:val="0"/>
        </w:rPr>
        <w:t>Je třeba splnit všechna kritéria.</w:t>
      </w:r>
    </w:p>
    <w:p>
      <w:pPr>
        <w:pStyle w:val="P23"/>
        <w:framePr w:w="10710" w:h="340" w:hRule="exact" w:wrap="none" w:vAnchor="page" w:hAnchor="margin" w:x="28" w:y="1043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0877"/>
        <w:rPr>
          <w:rStyle w:val="C3"/>
          <w:rtl w:val="0"/>
        </w:rPr>
      </w:pPr>
    </w:p>
    <w:p>
      <w:pPr>
        <w:pStyle w:val="P25"/>
        <w:framePr w:w="6661" w:h="249" w:hRule="exact" w:wrap="none" w:vAnchor="page" w:hAnchor="margin" w:x="71" w:y="10948"/>
        <w:rPr>
          <w:rStyle w:val="C19"/>
          <w:rtl w:val="0"/>
        </w:rPr>
      </w:pPr>
      <w:r>
        <w:rPr>
          <w:rStyle w:val="C19"/>
          <w:rtl w:val="0"/>
        </w:rPr>
        <w:t>Kritéria hodnocení</w:t>
      </w:r>
    </w:p>
    <w:p>
      <w:pPr>
        <w:pStyle w:val="P26"/>
        <w:framePr w:w="3918" w:h="376" w:hRule="exact" w:wrap="none" w:vAnchor="page" w:hAnchor="margin" w:x="6803" w:y="10877"/>
        <w:rPr>
          <w:rStyle w:val="C3"/>
          <w:rtl w:val="0"/>
        </w:rPr>
      </w:pPr>
    </w:p>
    <w:p>
      <w:pPr>
        <w:pStyle w:val="P27"/>
        <w:framePr w:w="3836" w:h="249" w:hRule="exact" w:wrap="none" w:vAnchor="page" w:hAnchor="margin" w:x="6859" w:y="10948"/>
        <w:rPr>
          <w:rStyle w:val="C20"/>
          <w:rtl w:val="0"/>
        </w:rPr>
      </w:pPr>
      <w:r>
        <w:rPr>
          <w:rStyle w:val="C20"/>
          <w:rtl w:val="0"/>
        </w:rPr>
        <w:t>Způsoby ověření</w:t>
      </w:r>
    </w:p>
    <w:p>
      <w:pPr>
        <w:pStyle w:val="P12"/>
        <w:framePr w:w="6710" w:h="607" w:hRule="exact" w:wrap="none" w:vAnchor="page" w:hAnchor="margin" w:x="45" w:y="11253"/>
        <w:rPr>
          <w:rStyle w:val="C3"/>
          <w:rtl w:val="0"/>
        </w:rPr>
      </w:pPr>
    </w:p>
    <w:p>
      <w:pPr>
        <w:pStyle w:val="P13"/>
        <w:framePr w:w="6658" w:h="480" w:hRule="exact" w:wrap="none" w:vAnchor="page" w:hAnchor="margin" w:x="71" w:y="11309"/>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11253"/>
        <w:rPr>
          <w:rStyle w:val="C3"/>
          <w:rtl w:val="0"/>
        </w:rPr>
      </w:pPr>
    </w:p>
    <w:p>
      <w:pPr>
        <w:pStyle w:val="P29"/>
        <w:framePr w:w="3839" w:h="480" w:hRule="exact" w:wrap="none" w:vAnchor="page" w:hAnchor="margin" w:x="6856" w:y="11309"/>
        <w:rPr>
          <w:rStyle w:val="C21"/>
          <w:rtl w:val="0"/>
        </w:rPr>
      </w:pPr>
      <w:r>
        <w:rPr>
          <w:rStyle w:val="C21"/>
          <w:rtl w:val="0"/>
        </w:rPr>
        <w:t>Písemné a ústní ověření</w:t>
      </w:r>
    </w:p>
    <w:p>
      <w:pPr>
        <w:pStyle w:val="P16"/>
        <w:framePr w:w="6710" w:h="607" w:hRule="exact" w:wrap="none" w:vAnchor="page" w:hAnchor="margin" w:x="45" w:y="11860"/>
        <w:rPr>
          <w:rStyle w:val="C3"/>
          <w:rtl w:val="0"/>
        </w:rPr>
      </w:pPr>
    </w:p>
    <w:p>
      <w:pPr>
        <w:pStyle w:val="P17"/>
        <w:framePr w:w="6658" w:h="480" w:hRule="exact" w:wrap="none" w:vAnchor="page" w:hAnchor="margin" w:x="71" w:y="11916"/>
        <w:rPr>
          <w:rStyle w:val="C13"/>
          <w:rtl w:val="0"/>
        </w:rPr>
      </w:pPr>
      <w:r>
        <w:rPr>
          <w:rStyle w:val="C13"/>
          <w:rtl w:val="0"/>
        </w:rPr>
        <w:t>b) Vyjmenovat pravidla pro správné odstraňování odpadů v chemickém provozu</w:t>
      </w:r>
    </w:p>
    <w:p>
      <w:pPr>
        <w:pStyle w:val="P30"/>
        <w:framePr w:w="3921" w:h="607" w:hRule="exact" w:wrap="none" w:vAnchor="page" w:hAnchor="margin" w:x="6800" w:y="11860"/>
        <w:rPr>
          <w:rStyle w:val="C3"/>
          <w:rtl w:val="0"/>
        </w:rPr>
      </w:pPr>
    </w:p>
    <w:p>
      <w:pPr>
        <w:pStyle w:val="P31"/>
        <w:framePr w:w="3839" w:h="480" w:hRule="exact" w:wrap="none" w:vAnchor="page" w:hAnchor="margin" w:x="6856" w:y="11916"/>
        <w:rPr>
          <w:rStyle w:val="C22"/>
          <w:rtl w:val="0"/>
        </w:rPr>
      </w:pPr>
      <w:r>
        <w:rPr>
          <w:rStyle w:val="C22"/>
          <w:rtl w:val="0"/>
        </w:rPr>
        <w:t>Písemné a ústní ověření</w:t>
      </w:r>
    </w:p>
    <w:p>
      <w:pPr>
        <w:pStyle w:val="P32"/>
        <w:framePr w:w="10710" w:h="248" w:hRule="exact" w:wrap="none" w:vAnchor="page" w:hAnchor="margin" w:x="28" w:y="12580"/>
        <w:rPr>
          <w:rStyle w:val="C23"/>
          <w:rtl w:val="0"/>
        </w:rPr>
      </w:pPr>
      <w:r>
        <w:rPr>
          <w:rStyle w:val="C23"/>
          <w:rtl w:val="0"/>
        </w:rPr>
        <w:t>Je třeba splnit obě kritéria.</w:t>
      </w:r>
    </w:p>
    <w:p>
      <w:pPr>
        <w:pStyle w:val="P23"/>
        <w:framePr w:w="10710" w:h="340" w:hRule="exact" w:wrap="none" w:vAnchor="page" w:hAnchor="margin" w:x="28" w:y="13016"/>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13455"/>
        <w:rPr>
          <w:rStyle w:val="C3"/>
          <w:rtl w:val="0"/>
        </w:rPr>
      </w:pPr>
    </w:p>
    <w:p>
      <w:pPr>
        <w:pStyle w:val="P25"/>
        <w:framePr w:w="6661" w:h="249" w:hRule="exact" w:wrap="none" w:vAnchor="page" w:hAnchor="margin" w:x="71" w:y="13526"/>
        <w:rPr>
          <w:rStyle w:val="C19"/>
          <w:rtl w:val="0"/>
        </w:rPr>
      </w:pPr>
      <w:r>
        <w:rPr>
          <w:rStyle w:val="C19"/>
          <w:rtl w:val="0"/>
        </w:rPr>
        <w:t>Kritéria hodnocení</w:t>
      </w:r>
    </w:p>
    <w:p>
      <w:pPr>
        <w:pStyle w:val="P26"/>
        <w:framePr w:w="3918" w:h="376" w:hRule="exact" w:wrap="none" w:vAnchor="page" w:hAnchor="margin" w:x="6803" w:y="13455"/>
        <w:rPr>
          <w:rStyle w:val="C3"/>
          <w:rtl w:val="0"/>
        </w:rPr>
      </w:pPr>
    </w:p>
    <w:p>
      <w:pPr>
        <w:pStyle w:val="P27"/>
        <w:framePr w:w="3836" w:h="249" w:hRule="exact" w:wrap="none" w:vAnchor="page" w:hAnchor="margin" w:x="6859" w:y="13526"/>
        <w:rPr>
          <w:rStyle w:val="C20"/>
          <w:rtl w:val="0"/>
        </w:rPr>
      </w:pPr>
      <w:r>
        <w:rPr>
          <w:rStyle w:val="C20"/>
          <w:rtl w:val="0"/>
        </w:rPr>
        <w:t>Způsoby ověření</w:t>
      </w:r>
    </w:p>
    <w:p>
      <w:pPr>
        <w:pStyle w:val="P12"/>
        <w:framePr w:w="6710" w:h="376" w:hRule="exact" w:wrap="none" w:vAnchor="page" w:hAnchor="margin" w:x="45" w:y="13831"/>
        <w:rPr>
          <w:rStyle w:val="C3"/>
          <w:rtl w:val="0"/>
        </w:rPr>
      </w:pPr>
    </w:p>
    <w:p>
      <w:pPr>
        <w:pStyle w:val="P13"/>
        <w:framePr w:w="6658" w:h="249" w:hRule="exact" w:wrap="none" w:vAnchor="page" w:hAnchor="margin" w:x="71" w:y="13887"/>
        <w:rPr>
          <w:rStyle w:val="C11"/>
          <w:rtl w:val="0"/>
        </w:rPr>
      </w:pPr>
      <w:r>
        <w:rPr>
          <w:rStyle w:val="C11"/>
          <w:rtl w:val="0"/>
        </w:rPr>
        <w:t>a) Popsat opatření vedoucí k udržitelné spotřebě v chemickém provozu</w:t>
      </w:r>
    </w:p>
    <w:p>
      <w:pPr>
        <w:pStyle w:val="P28"/>
        <w:framePr w:w="3921" w:h="376" w:hRule="exact" w:wrap="none" w:vAnchor="page" w:hAnchor="margin" w:x="6800" w:y="13831"/>
        <w:rPr>
          <w:rStyle w:val="C3"/>
          <w:rtl w:val="0"/>
        </w:rPr>
      </w:pPr>
    </w:p>
    <w:p>
      <w:pPr>
        <w:pStyle w:val="P29"/>
        <w:framePr w:w="3839" w:h="249" w:hRule="exact" w:wrap="none" w:vAnchor="page" w:hAnchor="margin" w:x="6856" w:y="13887"/>
        <w:rPr>
          <w:rStyle w:val="C21"/>
          <w:rtl w:val="0"/>
        </w:rPr>
      </w:pPr>
      <w:r>
        <w:rPr>
          <w:rStyle w:val="C21"/>
          <w:rtl w:val="0"/>
        </w:rPr>
        <w:t>Písemné ověření</w:t>
      </w:r>
    </w:p>
    <w:p>
      <w:pPr>
        <w:pStyle w:val="P16"/>
        <w:framePr w:w="6710" w:h="376" w:hRule="exact" w:wrap="none" w:vAnchor="page" w:hAnchor="margin" w:x="45" w:y="14208"/>
        <w:rPr>
          <w:rStyle w:val="C3"/>
          <w:rtl w:val="0"/>
        </w:rPr>
      </w:pPr>
    </w:p>
    <w:p>
      <w:pPr>
        <w:pStyle w:val="P17"/>
        <w:framePr w:w="6658" w:h="249" w:hRule="exact" w:wrap="none" w:vAnchor="page" w:hAnchor="margin" w:x="71" w:y="14264"/>
        <w:rPr>
          <w:rStyle w:val="C13"/>
          <w:rtl w:val="0"/>
        </w:rPr>
      </w:pPr>
      <w:r>
        <w:rPr>
          <w:rStyle w:val="C13"/>
          <w:rtl w:val="0"/>
        </w:rPr>
        <w:t>b) Popsat opatření vedoucí k udržitelnosti chemické výroby</w:t>
      </w:r>
    </w:p>
    <w:p>
      <w:pPr>
        <w:pStyle w:val="P30"/>
        <w:framePr w:w="3921" w:h="376" w:hRule="exact" w:wrap="none" w:vAnchor="page" w:hAnchor="margin" w:x="6800" w:y="14208"/>
        <w:rPr>
          <w:rStyle w:val="C3"/>
          <w:rtl w:val="0"/>
        </w:rPr>
      </w:pPr>
    </w:p>
    <w:p>
      <w:pPr>
        <w:pStyle w:val="P31"/>
        <w:framePr w:w="3839" w:h="249" w:hRule="exact" w:wrap="none" w:vAnchor="page" w:hAnchor="margin" w:x="6856" w:y="14264"/>
        <w:rPr>
          <w:rStyle w:val="C22"/>
          <w:rtl w:val="0"/>
        </w:rPr>
      </w:pPr>
      <w:r>
        <w:rPr>
          <w:rStyle w:val="C22"/>
          <w:rtl w:val="0"/>
        </w:rPr>
        <w:t>Písemné a ústní ověření</w:t>
      </w:r>
    </w:p>
    <w:p>
      <w:pPr>
        <w:pStyle w:val="P32"/>
        <w:framePr w:w="10710" w:h="248" w:hRule="exact" w:wrap="none" w:vAnchor="page" w:hAnchor="margin" w:x="28" w:y="146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http://katalog.nsp.cz/karta_p.aspx?id_jp=30976&amp;kod_sm1=34).</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nebo chemické laboratoři není povinen před zahájením zkoušky předložit potvrzení o zdravotní způsobilosti.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měl uchazeč střední vzdělání s maturitní zkouškou.</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a manažerských znalostí a dovedností na zadaném úseku chemické výroby.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80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chemickém oboru vzdělání a alespoň 10 let odborné praxe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nebo vysokoškolské vzdělání v oblasti chemie a alespoň 5 let odborné praxe ve funkci učitele odborných předmětů nebo praktického vyučování nebo učitele odborného výcviku v chemickém oboru,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nebo vysokoškolské vzdělání se zaměřením na chemii a alespoň 5 let odborné praxe v řídicí funkci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chemický technik manažer provozu a vysokoškolské vzdělání a alespoň 10 let odborné praxe v řídících pozicích v oblasti chemických výrob, z toho minimálně jeden rok v období posledních dvou let před podáním žádosti o udělení autorizace.</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48"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místnost vybavenou PC,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a provozní dokumentaci technologického procesu (pro uchazeče o zkoušku),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zařízení pro jednotlivé výrobní operace a chemické procesy řízená PC nebo řídícím panelem.(viz výše)</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Lučební závody Draslovka, a. s.</w:t>
      </w:r>
    </w:p>
    <w:p>
      <w:pPr>
        <w:pStyle w:val="P21"/>
        <w:framePr w:w="7654" w:h="331" w:hRule="exact" w:wrap="none" w:vAnchor="page" w:hAnchor="margin" w:x="28" w:y="15940"/>
        <w:rPr>
          <w:rStyle w:val="C16"/>
          <w:rtl w:val="0"/>
        </w:rPr>
      </w:pPr>
      <w:r>
        <w:rPr>
          <w:rStyle w:val="C16"/>
          <w:rtl w:val="0"/>
        </w:rPr>
        <w:t>Chemický technik manažer provozu, 14.9.2026 8:04:15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