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5C2D2A" Type="http://schemas.openxmlformats.org/officeDocument/2006/relationships/officeDocument" Target="/word/document.xml" /><Relationship Id="coreR215C2D2A" Type="http://schemas.openxmlformats.org/package/2006/relationships/metadata/core-properties" Target="/docProps/core.xml" /><Relationship Id="customR215C2D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Porážení, jatečné opracování a porcování drůbeže, 3.11.2026 17:37:04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11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porážení, jatečnému opracování a porcování drůbeže s využitím technologických postupů a hygienických zásad zacházení s drůbežím masem.</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pStyle w:val="P21"/>
        <w:framePr w:w="7654" w:h="331" w:hRule="exact" w:wrap="none" w:vAnchor="page" w:hAnchor="margin" w:x="28" w:y="15940"/>
        <w:rPr>
          <w:rStyle w:val="C16"/>
          <w:rtl w:val="0"/>
        </w:rPr>
      </w:pPr>
      <w:r>
        <w:rPr>
          <w:rStyle w:val="C16"/>
          <w:rtl w:val="0"/>
        </w:rPr>
        <w:t>Porážení, jatečné opracování a porcování drůbeže, 3.11.2026 17:37:04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byl zpracován ve spolupráci se Sektorovou radou potravinářství a zástupci následujících institucí: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Porážení, jatečné opracování a porcování drůbeže, 3.11.2026 17:37:04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