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7B3C07" Type="http://schemas.openxmlformats.org/officeDocument/2006/relationships/officeDocument" Target="/word/document.xml" /><Relationship Id="coreR4C7B3C07" Type="http://schemas.openxmlformats.org/package/2006/relationships/metadata/core-properties" Target="/docProps/core.xml" /><Relationship Id="customR4C7B3C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porážky, jatečného opracování a porcování drůbeže (kód: 29-022-E)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porážky, jatečné úpravy a porcování drůbeže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drůbeže na porážku a přísun k lince na zpracování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Navěšování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Omračování a vykrvování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Napařování a škubání drůbeže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drůbeže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drůbežího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drůbežího masa, drůbežích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drůbežího masa a drůbežích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drůbeže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19.9.2026 15:42:39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43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https://www.nsp.cz/jednotka-prace/pracovnik-porazky-jatecne-6c58#zdravotni-zpusobilost).</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porážení, jatečné úpravě a porcování drůbeže s využitím technologických postupů a hygienických zásad zacházení s drůbežím masem.</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všech kompetencí se provádí v reálném provozu, tzn. na porážecí lince, jejímuž tempu musí uchazeč vyhovět. Při času vymezeném pro zkoušku (min. 2 h) vychází průměrně 10 minut na ověření jedné kompetence, což je dostačující doba provádění technologické operace pro ověření získaných dovedností.</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19.9.2026 15:42:39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19.9.2026 15:42:39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