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C25829" Type="http://schemas.openxmlformats.org/officeDocument/2006/relationships/officeDocument" Target="/word/document.xml" /><Relationship Id="coreRDC25829" Type="http://schemas.openxmlformats.org/package/2006/relationships/metadata/core-properties" Target="/docProps/core.xml" /><Relationship Id="customRDC258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mistr (kód: 28-039-M)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chemické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spouštění a odstavení provozu technických a technologických zařízení chemické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a provozní dokumentace svěřeného úseku chemické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zabezpečování dodržování pracovní a technologické kázně, předpisů BOZP a hygieny práce a plnění úkolů ve stanovených technických a ekonomických parametrech ve svěřeném úseku chemické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chemického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evidence přítomnosti zaměstnanců na pracovišti, kontrola a evidence majetku ve svěřeném úseku chemické výroby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ve svěřeném úseku chemické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Zpracovávání podkladů pro odměňování pracovníků svěřeného úseku chemické výroby; provádění úkonů jejich prvotní personální agendy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27.08.2012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27.10.2026 3:43:23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měl uchazeč střední vzdělání s výučním listem v chemickém oboru.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http://katalog.nsp.cz/karta_p.aspx?id_jp=30976&amp;kod_sm1=34).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pracující v chemickém provozu nebo chemické laboratoři není povinen před zahájením zkoušky předložit potvrzení o zdravotní způsobilosti.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třeba zadávat komplexní úkoly prověřující aplikaci chemických a manažerských znalostí a dovedností na zadaném úseku chemické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27.10.2026 3:43:23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chemii, ustavená a licencovaná pro tuto činnost HK ČR a SP ČR 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LZ Draslovka, a. s., Kolín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27.10.2026 3:43:23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