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0B2351" Type="http://schemas.openxmlformats.org/officeDocument/2006/relationships/officeDocument" Target="/word/document.xml" /><Relationship Id="coreR750B2351" Type="http://schemas.openxmlformats.org/package/2006/relationships/metadata/core-properties" Target="/docProps/core.xml" /><Relationship Id="customR750B23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Strojník pro obsluhu čistírny odpadních vod, 30.4.2026 15:12:01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vysvětlení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vysvětlení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vysvětlení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technologický postup čištění odpadních vod a nakreslit blokové schéma čistírny odpadních vod</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nebo 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Interpretovat s použitím technické dokumentace technologický postup čištění odpadních vod</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vysvětlení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Uvést a charakterizovat fyzikální veličiny vztahující se k problematice vodárenství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nebo písemné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nakládání s chemickými látkami a odpady</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Ústní a 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a 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Číst a vysvětlit provozní, manipulační a kanalizační řád čistírny odpadních vod</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Vysvětlit a charakterizovat biochemickou a chemickou spotřebu kyslíku (BSK, CHSK), nerozpuštěné látky (NL)</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Ústní nebo písemné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Odběr vzorků odpadních vod a kalů</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Popsat druhy a způsoby odebírání vzorků odpadních vod a kalů</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Ústní ověření</w:t>
      </w:r>
    </w:p>
    <w:p>
      <w:pPr>
        <w:pStyle w:val="P16"/>
        <w:framePr w:w="6710" w:h="376" w:hRule="exact" w:wrap="none" w:vAnchor="page" w:hAnchor="margin" w:x="45" w:y="13430"/>
        <w:rPr>
          <w:rStyle w:val="C3"/>
          <w:rtl w:val="0"/>
        </w:rPr>
      </w:pPr>
    </w:p>
    <w:p>
      <w:pPr>
        <w:pStyle w:val="P17"/>
        <w:framePr w:w="6658" w:h="249" w:hRule="exact" w:wrap="none" w:vAnchor="page" w:hAnchor="margin" w:x="71" w:y="13486"/>
        <w:rPr>
          <w:rStyle w:val="C13"/>
          <w:rtl w:val="0"/>
        </w:rPr>
      </w:pPr>
      <w:r>
        <w:rPr>
          <w:rStyle w:val="C13"/>
          <w:rtl w:val="0"/>
        </w:rPr>
        <w:t>d) Provést odběr vzorku odpadních vod nebo kalů podle zadání</w:t>
      </w:r>
    </w:p>
    <w:p>
      <w:pPr>
        <w:pStyle w:val="P30"/>
        <w:framePr w:w="3921" w:h="376" w:hRule="exact" w:wrap="none" w:vAnchor="page" w:hAnchor="margin" w:x="6800" w:y="13430"/>
        <w:rPr>
          <w:rStyle w:val="C3"/>
          <w:rtl w:val="0"/>
        </w:rPr>
      </w:pPr>
    </w:p>
    <w:p>
      <w:pPr>
        <w:pStyle w:val="P31"/>
        <w:framePr w:w="3839" w:h="249" w:hRule="exact" w:wrap="none" w:vAnchor="page" w:hAnchor="margin" w:x="6856" w:y="13486"/>
        <w:rPr>
          <w:rStyle w:val="C22"/>
          <w:rtl w:val="0"/>
        </w:rPr>
      </w:pPr>
      <w:r>
        <w:rPr>
          <w:rStyle w:val="C22"/>
          <w:rtl w:val="0"/>
        </w:rPr>
        <w:t>Praktické předvedení</w:t>
      </w:r>
    </w:p>
    <w:p>
      <w:pPr>
        <w:pStyle w:val="P32"/>
        <w:framePr w:w="10710" w:h="248" w:hRule="exact" w:wrap="none" w:vAnchor="page" w:hAnchor="margin" w:x="28" w:y="13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30.4.2026 15:12:01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vysvětlení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Obsluhovat ovládací panely podle modelové situace</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Vysvětlit vazby procesů čištění odpadních vod na provozní evidenci</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ověření</w:t>
      </w:r>
    </w:p>
    <w:p>
      <w:pPr>
        <w:pStyle w:val="P12"/>
        <w:framePr w:w="6710" w:h="831" w:hRule="exact" w:wrap="none" w:vAnchor="page" w:hAnchor="margin" w:x="45" w:y="7636"/>
        <w:rPr>
          <w:rStyle w:val="C3"/>
          <w:rtl w:val="0"/>
        </w:rPr>
      </w:pPr>
    </w:p>
    <w:p>
      <w:pPr>
        <w:pStyle w:val="P13"/>
        <w:framePr w:w="6658" w:h="704" w:hRule="exact" w:wrap="none" w:vAnchor="page" w:hAnchor="margin" w:x="71" w:y="7692"/>
        <w:rPr>
          <w:rStyle w:val="C11"/>
          <w:rtl w:val="0"/>
        </w:rPr>
      </w:pPr>
      <w:r>
        <w:rPr>
          <w:rStyle w:val="C11"/>
          <w:rtl w:val="0"/>
        </w:rPr>
        <w:t>e) Uvést a předvést pracovní postupy při možných poruchách ovládacích panelů dálkově ovládaných automatizovaných provozů sloužících k čištění odpadních vod</w:t>
      </w:r>
    </w:p>
    <w:p>
      <w:pPr>
        <w:pStyle w:val="P28"/>
        <w:framePr w:w="3921" w:h="831" w:hRule="exact" w:wrap="none" w:vAnchor="page" w:hAnchor="margin" w:x="6800" w:y="7636"/>
        <w:rPr>
          <w:rStyle w:val="C3"/>
          <w:rtl w:val="0"/>
        </w:rPr>
      </w:pPr>
    </w:p>
    <w:p>
      <w:pPr>
        <w:pStyle w:val="P29"/>
        <w:framePr w:w="3839" w:h="704" w:hRule="exact" w:wrap="none" w:vAnchor="page" w:hAnchor="margin" w:x="6856" w:y="7692"/>
        <w:rPr>
          <w:rStyle w:val="C21"/>
          <w:rtl w:val="0"/>
        </w:rPr>
      </w:pPr>
      <w:r>
        <w:rPr>
          <w:rStyle w:val="C21"/>
          <w:rtl w:val="0"/>
        </w:rPr>
        <w:t>Praktické předvedení a ústní vysvětlení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vysvětlení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vysvětlení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30.4.2026 15:12:01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ochranu zdraví před biologickými činiteli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vyhrazené technické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obsluhu osobního detektoru nebezpečných plynů podle návodu výrobce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zajišťovacího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Vysvětlit a předvést poskytnutí první pomoci</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 a ústní vysvětlení</w:t>
      </w:r>
    </w:p>
    <w:p>
      <w:pPr>
        <w:pStyle w:val="P32"/>
        <w:framePr w:w="10710" w:h="248" w:hRule="exact" w:wrap="none" w:vAnchor="page" w:hAnchor="margin" w:x="28" w:y="7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30.4.2026 15:12:01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http://katalog.nsp.cz/karta_p.aspx?id_jp=101820&amp;kod_sm1=44).</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Obsluha ovládacích panelů automatizovaných provozů sloužících k čištění odpadních vod kritérium c/</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Údržba a běžné opravy strojů a zařízení sloužících k čištění odpadních vod kritérium d/</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5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některých odborných způsobilostí lze provést též elektronickou formou v simulovaném prostředí (na modelu).</w:t>
      </w:r>
    </w:p>
    <w:p>
      <w:pPr>
        <w:pStyle w:val="P33"/>
        <w:framePr w:w="10766" w:h="1837" w:hRule="exact" w:wrap="none" w:vAnchor="page" w:hAnchor="margin" w:x="0" w:y="8782"/>
        <w:rPr>
          <w:rStyle w:val="C3"/>
          <w:rtl w:val="0"/>
        </w:rPr>
      </w:pPr>
    </w:p>
    <w:p>
      <w:pPr>
        <w:pStyle w:val="P35"/>
        <w:framePr w:w="10710" w:h="340" w:hRule="exact" w:wrap="none" w:vAnchor="page" w:hAnchor="margin" w:x="28" w:y="8782"/>
        <w:rPr>
          <w:rStyle w:val="C25"/>
          <w:rtl w:val="0"/>
        </w:rPr>
      </w:pPr>
      <w:r>
        <w:rPr>
          <w:rStyle w:val="C25"/>
          <w:rtl w:val="0"/>
        </w:rPr>
        <w:t>Výsledné hodnocení</w:t>
      </w:r>
    </w:p>
    <w:p>
      <w:pPr>
        <w:keepNext w:val="0"/>
        <w:keepLines w:val="0"/>
        <w:framePr w:w="10766" w:h="1497"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7"/>
        <w:rPr>
          <w:rStyle w:val="C3"/>
          <w:rtl w:val="0"/>
        </w:rPr>
      </w:pPr>
    </w:p>
    <w:p>
      <w:pPr>
        <w:pStyle w:val="P35"/>
        <w:framePr w:w="10710" w:h="340" w:hRule="exact" w:wrap="none" w:vAnchor="page" w:hAnchor="margin" w:x="28" w:y="10847"/>
        <w:rPr>
          <w:rStyle w:val="C25"/>
          <w:rtl w:val="0"/>
        </w:rPr>
      </w:pPr>
      <w:r>
        <w:rPr>
          <w:rStyle w:val="C25"/>
          <w:rtl w:val="0"/>
        </w:rPr>
        <w:t>Počet zkoušejících</w:t>
      </w:r>
    </w:p>
    <w:p>
      <w:pPr>
        <w:keepNext w:val="0"/>
        <w:keepLines w:val="0"/>
        <w:framePr w:w="10766" w:h="1036"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čistírny odpadních vod, 30.4.2026 15:12:01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Strojník pro obsluhu čistírny odpadních vod, 30.4.2026 15:12:01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odpovídající učebně.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kanalizační řád, povodňový plán, technologické schéma čistírny odpadních vod, listy a návody k použití dodávané výrobcem, technické výkresy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počítač s patřičným softwarem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čistírny odpadních vod, 30.4.2026 15:12:01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Strojník pro obsluhu čistírny odpadních vod, 30.4.2026 15:12:01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