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0D7A3B" Type="http://schemas.openxmlformats.org/officeDocument/2006/relationships/officeDocument" Target="/word/document.xml" /><Relationship Id="coreR2B0D7A3B" Type="http://schemas.openxmlformats.org/package/2006/relationships/metadata/core-properties" Target="/docProps/core.xml" /><Relationship Id="customR2B0D7A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Bourač/bouračka masa (kód: 29-021-H)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požadavků na surovinu v závislosti na druhu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Dělení a vykosťování masa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jednotlivých druhů vykostěného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Bourač/bouračka masa, 29.10.2026 3:15:10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8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bouráním masa jatečných prasat a jatečného skotu s využitím technologických postupů a hygienických zásad zacházení s jatečně upravenými těly jatečných zvířat a čerstvým masem.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 Skladování masa " postačí, když uchazeč uskladní 10 kg masa.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 a jatečného skotu.</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Bourač/bouračka masa, 29.10.2026 3:15:10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Bourač/bouračka masa, 29.10.2026 3:15:10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