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D69CD1" Type="http://schemas.openxmlformats.org/officeDocument/2006/relationships/officeDocument" Target="/word/document.xml" /><Relationship Id="coreR40D69CD1" Type="http://schemas.openxmlformats.org/package/2006/relationships/metadata/core-properties" Target="/docProps/core.xml" /><Relationship Id="customR40D69C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Ekonom práce (kód: 63-005-R)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Finanční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zásad odměňování na konkrétní podmínky organizace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interních mzdových (platových)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pracovněprávních problémů na základě mzdových (platových) zásad a předpisů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mzdových (platových) rozborů a kalkulací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mzdových (platových) podmínek a prémiových ukazatelů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Zařazování zaměstnanců do povolání, pozic, mzdových (platových) skupin, tarifních stupňů (platových tříd)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Využívání mzdového softwaru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Vystavování individuálních smluv o odměňování a mzdových (platových) dokladů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15.08.2012 do: 14.03.2020</w:t>
      </w:r>
    </w:p>
    <w:p>
      <w:pPr>
        <w:pStyle w:val="P21"/>
        <w:framePr w:w="7654" w:h="331" w:hRule="exact" w:wrap="none" w:vAnchor="page" w:hAnchor="margin" w:x="28" w:y="15940"/>
        <w:rPr>
          <w:rStyle w:val="C16"/>
          <w:rtl w:val="0"/>
        </w:rPr>
      </w:pPr>
      <w:r>
        <w:rPr>
          <w:rStyle w:val="C16"/>
          <w:rtl w:val="0"/>
        </w:rPr>
        <w:t>Ekonom práce, 14.6.2026 23:35:18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vztahy mezi zákoníkem práce, kolektivní smlouvou vyššího stupně, podnikovou kolektivní smlouvou a mzdovým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ustanovení zákoníku práce v kapitolách týkajících se odměňování, pracovní doby a doby odpočinku včetně prováděcích nařízení vlády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strukturu mzdového předpisu nebo mzdové části kolektivní smlouvy, požadovanou formu a nejčastější zaměření obsahu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Aplikace zásad odměňování na konkrétní podmínky organizace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Vypracovat strukturu mzdového předpisu</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Spočítat jednotlivé složky mzdy/platu</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Vysvětlit vztahy mezi nárokovými složkami mzdy/platu a motivačními složkami mzdy/platu</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Kontrola dodržování interních mzdových (platových) předpisů</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Vypracovat hlavní zásady postupu při interní kontrole uplatňování mzdového/platového předpisu</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Popsat postup kontroly dodržování mzdových předpisů a předpisů o rozvrhu a evidenci pracovní doby</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Ústní ověření</w:t>
      </w:r>
    </w:p>
    <w:p>
      <w:pPr>
        <w:pStyle w:val="P32"/>
        <w:framePr w:w="10710" w:h="248" w:hRule="exact" w:wrap="none" w:vAnchor="page" w:hAnchor="margin" w:x="28" w:y="10988"/>
        <w:rPr>
          <w:rStyle w:val="C23"/>
          <w:rtl w:val="0"/>
        </w:rPr>
      </w:pPr>
      <w:r>
        <w:rPr>
          <w:rStyle w:val="C23"/>
          <w:rtl w:val="0"/>
        </w:rPr>
        <w:t>Je třeba splnit obě kritéria.</w:t>
      </w:r>
    </w:p>
    <w:p>
      <w:pPr>
        <w:pStyle w:val="P23"/>
        <w:framePr w:w="10710" w:h="340" w:hRule="exact" w:wrap="none" w:vAnchor="page" w:hAnchor="margin" w:x="28" w:y="11423"/>
        <w:rPr>
          <w:rStyle w:val="C18"/>
          <w:rtl w:val="0"/>
        </w:rPr>
      </w:pPr>
      <w:r>
        <w:rPr>
          <w:rStyle w:val="C18"/>
          <w:rtl w:val="0"/>
        </w:rPr>
        <w:t>Posuzování pracovněprávních problémů na základě mzdových (platových) zásad a předpisů</w:t>
      </w:r>
    </w:p>
    <w:p>
      <w:pPr>
        <w:pStyle w:val="P24"/>
        <w:framePr w:w="6713" w:h="376" w:hRule="exact" w:wrap="none" w:vAnchor="page" w:hAnchor="margin" w:x="45" w:y="11862"/>
        <w:rPr>
          <w:rStyle w:val="C3"/>
          <w:rtl w:val="0"/>
        </w:rPr>
      </w:pPr>
    </w:p>
    <w:p>
      <w:pPr>
        <w:pStyle w:val="P25"/>
        <w:framePr w:w="6661" w:h="249" w:hRule="exact" w:wrap="none" w:vAnchor="page" w:hAnchor="margin" w:x="71" w:y="11933"/>
        <w:rPr>
          <w:rStyle w:val="C19"/>
          <w:rtl w:val="0"/>
        </w:rPr>
      </w:pPr>
      <w:r>
        <w:rPr>
          <w:rStyle w:val="C19"/>
          <w:rtl w:val="0"/>
        </w:rPr>
        <w:t>Kritéria hodnocení</w:t>
      </w:r>
    </w:p>
    <w:p>
      <w:pPr>
        <w:pStyle w:val="P26"/>
        <w:framePr w:w="3918" w:h="376" w:hRule="exact" w:wrap="none" w:vAnchor="page" w:hAnchor="margin" w:x="6803" w:y="11862"/>
        <w:rPr>
          <w:rStyle w:val="C3"/>
          <w:rtl w:val="0"/>
        </w:rPr>
      </w:pPr>
    </w:p>
    <w:p>
      <w:pPr>
        <w:pStyle w:val="P27"/>
        <w:framePr w:w="3836" w:h="249" w:hRule="exact" w:wrap="none" w:vAnchor="page" w:hAnchor="margin" w:x="6859" w:y="11933"/>
        <w:rPr>
          <w:rStyle w:val="C20"/>
          <w:rtl w:val="0"/>
        </w:rPr>
      </w:pPr>
      <w:r>
        <w:rPr>
          <w:rStyle w:val="C20"/>
          <w:rtl w:val="0"/>
        </w:rPr>
        <w:t>Způsoby ověření</w:t>
      </w:r>
    </w:p>
    <w:p>
      <w:pPr>
        <w:pStyle w:val="P12"/>
        <w:framePr w:w="6710" w:h="607" w:hRule="exact" w:wrap="none" w:vAnchor="page" w:hAnchor="margin" w:x="45" w:y="12239"/>
        <w:rPr>
          <w:rStyle w:val="C3"/>
          <w:rtl w:val="0"/>
        </w:rPr>
      </w:pPr>
    </w:p>
    <w:p>
      <w:pPr>
        <w:pStyle w:val="P13"/>
        <w:framePr w:w="6658" w:h="480" w:hRule="exact" w:wrap="none" w:vAnchor="page" w:hAnchor="margin" w:x="71" w:y="12295"/>
        <w:rPr>
          <w:rStyle w:val="C11"/>
          <w:rtl w:val="0"/>
        </w:rPr>
      </w:pPr>
      <w:r>
        <w:rPr>
          <w:rStyle w:val="C11"/>
          <w:rtl w:val="0"/>
        </w:rPr>
        <w:t>a) Navrhnout pracovní smlouvu na danou pozici a zdůvodnit použitou formu odměňování</w:t>
      </w:r>
    </w:p>
    <w:p>
      <w:pPr>
        <w:pStyle w:val="P28"/>
        <w:framePr w:w="3921" w:h="607" w:hRule="exact" w:wrap="none" w:vAnchor="page" w:hAnchor="margin" w:x="6800" w:y="12239"/>
        <w:rPr>
          <w:rStyle w:val="C3"/>
          <w:rtl w:val="0"/>
        </w:rPr>
      </w:pPr>
    </w:p>
    <w:p>
      <w:pPr>
        <w:pStyle w:val="P29"/>
        <w:framePr w:w="3839" w:h="480" w:hRule="exact" w:wrap="none" w:vAnchor="page" w:hAnchor="margin" w:x="6856" w:y="12295"/>
        <w:rPr>
          <w:rStyle w:val="C21"/>
          <w:rtl w:val="0"/>
        </w:rPr>
      </w:pPr>
      <w:r>
        <w:rPr>
          <w:rStyle w:val="C21"/>
          <w:rtl w:val="0"/>
        </w:rPr>
        <w:t>Praktické předvedení a ústní ověření</w:t>
      </w:r>
    </w:p>
    <w:p>
      <w:pPr>
        <w:pStyle w:val="P16"/>
        <w:framePr w:w="6710" w:h="607" w:hRule="exact" w:wrap="none" w:vAnchor="page" w:hAnchor="margin" w:x="45" w:y="12846"/>
        <w:rPr>
          <w:rStyle w:val="C3"/>
          <w:rtl w:val="0"/>
        </w:rPr>
      </w:pPr>
    </w:p>
    <w:p>
      <w:pPr>
        <w:pStyle w:val="P17"/>
        <w:framePr w:w="6658" w:h="480" w:hRule="exact" w:wrap="none" w:vAnchor="page" w:hAnchor="margin" w:x="71" w:y="12902"/>
        <w:rPr>
          <w:rStyle w:val="C13"/>
          <w:rtl w:val="0"/>
        </w:rPr>
      </w:pPr>
      <w:r>
        <w:rPr>
          <w:rStyle w:val="C13"/>
          <w:rtl w:val="0"/>
        </w:rPr>
        <w:t>b) Provést benchmarking pracovních pozic s různou formou odměňování a vysvětlit výhody a nevýhody použitých forem odměňování</w:t>
      </w:r>
    </w:p>
    <w:p>
      <w:pPr>
        <w:pStyle w:val="P30"/>
        <w:framePr w:w="3921" w:h="607" w:hRule="exact" w:wrap="none" w:vAnchor="page" w:hAnchor="margin" w:x="6800" w:y="12846"/>
        <w:rPr>
          <w:rStyle w:val="C3"/>
          <w:rtl w:val="0"/>
        </w:rPr>
      </w:pPr>
    </w:p>
    <w:p>
      <w:pPr>
        <w:pStyle w:val="P31"/>
        <w:framePr w:w="3839" w:h="480" w:hRule="exact" w:wrap="none" w:vAnchor="page" w:hAnchor="margin" w:x="6856" w:y="12902"/>
        <w:rPr>
          <w:rStyle w:val="C22"/>
          <w:rtl w:val="0"/>
        </w:rPr>
      </w:pPr>
      <w:r>
        <w:rPr>
          <w:rStyle w:val="C22"/>
          <w:rtl w:val="0"/>
        </w:rPr>
        <w:t>Praktické předvedení a ústní ověření</w:t>
      </w:r>
    </w:p>
    <w:p>
      <w:pPr>
        <w:pStyle w:val="P12"/>
        <w:framePr w:w="6710" w:h="607" w:hRule="exact" w:wrap="none" w:vAnchor="page" w:hAnchor="margin" w:x="45" w:y="13452"/>
        <w:rPr>
          <w:rStyle w:val="C3"/>
          <w:rtl w:val="0"/>
        </w:rPr>
      </w:pPr>
    </w:p>
    <w:p>
      <w:pPr>
        <w:pStyle w:val="P13"/>
        <w:framePr w:w="6658" w:h="480" w:hRule="exact" w:wrap="none" w:vAnchor="page" w:hAnchor="margin" w:x="71" w:y="13508"/>
        <w:rPr>
          <w:rStyle w:val="C11"/>
          <w:rtl w:val="0"/>
        </w:rPr>
      </w:pPr>
      <w:r>
        <w:rPr>
          <w:rStyle w:val="C11"/>
          <w:rtl w:val="0"/>
        </w:rPr>
        <w:t>c) Navrhnout a zdůvodnit způsob odměňování pro určitou skupinu zaměstnanců</w:t>
      </w:r>
    </w:p>
    <w:p>
      <w:pPr>
        <w:pStyle w:val="P28"/>
        <w:framePr w:w="3921" w:h="607" w:hRule="exact" w:wrap="none" w:vAnchor="page" w:hAnchor="margin" w:x="6800" w:y="13452"/>
        <w:rPr>
          <w:rStyle w:val="C3"/>
          <w:rtl w:val="0"/>
        </w:rPr>
      </w:pPr>
    </w:p>
    <w:p>
      <w:pPr>
        <w:pStyle w:val="P29"/>
        <w:framePr w:w="3839" w:h="480" w:hRule="exact" w:wrap="none" w:vAnchor="page" w:hAnchor="margin" w:x="6856" w:y="13508"/>
        <w:rPr>
          <w:rStyle w:val="C21"/>
          <w:rtl w:val="0"/>
        </w:rPr>
      </w:pPr>
      <w:r>
        <w:rPr>
          <w:rStyle w:val="C21"/>
          <w:rtl w:val="0"/>
        </w:rPr>
        <w:t>Praktické předvedení a ústní ověření</w:t>
      </w:r>
    </w:p>
    <w:p>
      <w:pPr>
        <w:pStyle w:val="P32"/>
        <w:framePr w:w="10710" w:h="248" w:hRule="exact" w:wrap="none" w:vAnchor="page" w:hAnchor="margin" w:x="28" w:y="14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Ekonom práce, 14.6.2026 23:35:18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mzdových (platových) rozborů a kalkulací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účel a cíl mzdových rozborů a kalkulací, jejich rozdělení podle formy mzdy a skupin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nebo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celkový vývoj průměrného výdělku dané profesní skupiny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Vypočítat fluktuaci a nemocnost zaměstnanců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Vyhodnocování mzdových (platových) podmínek a prémiových ukazatelů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nejčastější druhy variabilních složek mezd, jejich základní rozdělení a způsob používání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způsob variabilních bonusů (prémiování) pro cílovou skupinu zaměstnanců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Vyhodnotit konkrétní prémiový ukazatel na daném pracovišti a spočítat příslušnou měsíční prémii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Zařazování zaměstnanců do povolání, pozic, mzdových (platových) skupin, tarifních stupňů (platových tříd)</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Vysvětlit principy systémů pro hodnocení složitosti odpovědnosti, namáhavosti a dalších hledisek u pracovních pozic</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Vyjmenovat zásady zařazování zaměstnanců do pracovních pozic</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Ústní ověření</w:t>
      </w:r>
    </w:p>
    <w:p>
      <w:pPr>
        <w:pStyle w:val="P32"/>
        <w:framePr w:w="10710" w:h="248" w:hRule="exact" w:wrap="none" w:vAnchor="page" w:hAnchor="margin" w:x="28" w:y="10413"/>
        <w:rPr>
          <w:rStyle w:val="C23"/>
          <w:rtl w:val="0"/>
        </w:rPr>
      </w:pPr>
      <w:r>
        <w:rPr>
          <w:rStyle w:val="C23"/>
          <w:rtl w:val="0"/>
        </w:rPr>
        <w:t>Je třeba splnit obě kritéria.</w:t>
      </w:r>
    </w:p>
    <w:p>
      <w:pPr>
        <w:pStyle w:val="P23"/>
        <w:framePr w:w="10710" w:h="340" w:hRule="exact" w:wrap="none" w:vAnchor="page" w:hAnchor="margin" w:x="28" w:y="10849"/>
        <w:rPr>
          <w:rStyle w:val="C18"/>
          <w:rtl w:val="0"/>
        </w:rPr>
      </w:pPr>
      <w:r>
        <w:rPr>
          <w:rStyle w:val="C18"/>
          <w:rtl w:val="0"/>
        </w:rPr>
        <w:t>Využívání mzdového softwaru</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376" w:hRule="exact" w:wrap="none" w:vAnchor="page" w:hAnchor="margin" w:x="45" w:y="11664"/>
        <w:rPr>
          <w:rStyle w:val="C3"/>
          <w:rtl w:val="0"/>
        </w:rPr>
      </w:pPr>
    </w:p>
    <w:p>
      <w:pPr>
        <w:pStyle w:val="P13"/>
        <w:framePr w:w="6658" w:h="249" w:hRule="exact" w:wrap="none" w:vAnchor="page" w:hAnchor="margin" w:x="71" w:y="11720"/>
        <w:rPr>
          <w:rStyle w:val="C11"/>
          <w:rtl w:val="0"/>
        </w:rPr>
      </w:pPr>
      <w:r>
        <w:rPr>
          <w:rStyle w:val="C11"/>
          <w:rtl w:val="0"/>
        </w:rPr>
        <w:t>a) Uvést příklady výstupů ze mzdového softwaru</w:t>
      </w:r>
    </w:p>
    <w:p>
      <w:pPr>
        <w:pStyle w:val="P28"/>
        <w:framePr w:w="3921" w:h="376" w:hRule="exact" w:wrap="none" w:vAnchor="page" w:hAnchor="margin" w:x="6800" w:y="11664"/>
        <w:rPr>
          <w:rStyle w:val="C3"/>
          <w:rtl w:val="0"/>
        </w:rPr>
      </w:pPr>
    </w:p>
    <w:p>
      <w:pPr>
        <w:pStyle w:val="P29"/>
        <w:framePr w:w="3839" w:h="249" w:hRule="exact" w:wrap="none" w:vAnchor="page" w:hAnchor="margin" w:x="6856" w:y="11720"/>
        <w:rPr>
          <w:rStyle w:val="C21"/>
          <w:rtl w:val="0"/>
        </w:rPr>
      </w:pPr>
      <w:r>
        <w:rPr>
          <w:rStyle w:val="C21"/>
          <w:rtl w:val="0"/>
        </w:rPr>
        <w:t>Ústní ověření</w:t>
      </w:r>
    </w:p>
    <w:p>
      <w:pPr>
        <w:pStyle w:val="P16"/>
        <w:framePr w:w="6710" w:h="376" w:hRule="exact" w:wrap="none" w:vAnchor="page" w:hAnchor="margin" w:x="45" w:y="12040"/>
        <w:rPr>
          <w:rStyle w:val="C3"/>
          <w:rtl w:val="0"/>
        </w:rPr>
      </w:pPr>
    </w:p>
    <w:p>
      <w:pPr>
        <w:pStyle w:val="P17"/>
        <w:framePr w:w="6658" w:h="249" w:hRule="exact" w:wrap="none" w:vAnchor="page" w:hAnchor="margin" w:x="71" w:y="12096"/>
        <w:rPr>
          <w:rStyle w:val="C13"/>
          <w:rtl w:val="0"/>
        </w:rPr>
      </w:pPr>
      <w:r>
        <w:rPr>
          <w:rStyle w:val="C13"/>
          <w:rtl w:val="0"/>
        </w:rPr>
        <w:t>b) Charakterizovat způsob ověření správného nastavení mzdového softwaru</w:t>
      </w:r>
    </w:p>
    <w:p>
      <w:pPr>
        <w:pStyle w:val="P30"/>
        <w:framePr w:w="3921" w:h="376" w:hRule="exact" w:wrap="none" w:vAnchor="page" w:hAnchor="margin" w:x="6800" w:y="12040"/>
        <w:rPr>
          <w:rStyle w:val="C3"/>
          <w:rtl w:val="0"/>
        </w:rPr>
      </w:pPr>
    </w:p>
    <w:p>
      <w:pPr>
        <w:pStyle w:val="P31"/>
        <w:framePr w:w="3839" w:h="249" w:hRule="exact" w:wrap="none" w:vAnchor="page" w:hAnchor="margin" w:x="6856" w:y="12096"/>
        <w:rPr>
          <w:rStyle w:val="C22"/>
          <w:rtl w:val="0"/>
        </w:rPr>
      </w:pPr>
      <w:r>
        <w:rPr>
          <w:rStyle w:val="C22"/>
          <w:rtl w:val="0"/>
        </w:rPr>
        <w:t>Ústní ověření</w:t>
      </w:r>
    </w:p>
    <w:p>
      <w:pPr>
        <w:pStyle w:val="P32"/>
        <w:framePr w:w="10710" w:h="248" w:hRule="exact" w:wrap="none" w:vAnchor="page" w:hAnchor="margin" w:x="28" w:y="12530"/>
        <w:rPr>
          <w:rStyle w:val="C23"/>
          <w:rtl w:val="0"/>
        </w:rPr>
      </w:pPr>
      <w:r>
        <w:rPr>
          <w:rStyle w:val="C23"/>
          <w:rtl w:val="0"/>
        </w:rPr>
        <w:t>Je třeba splnit obě kritéria.</w:t>
      </w:r>
    </w:p>
    <w:p>
      <w:pPr>
        <w:pStyle w:val="P23"/>
        <w:framePr w:w="10710" w:h="340" w:hRule="exact" w:wrap="none" w:vAnchor="page" w:hAnchor="margin" w:x="28" w:y="12966"/>
        <w:rPr>
          <w:rStyle w:val="C18"/>
          <w:rtl w:val="0"/>
        </w:rPr>
      </w:pPr>
      <w:r>
        <w:rPr>
          <w:rStyle w:val="C18"/>
          <w:rtl w:val="0"/>
        </w:rPr>
        <w:t>Vystavování individuálních smluv o odměňování a mzdových (platových) dokladů</w:t>
      </w:r>
    </w:p>
    <w:p>
      <w:pPr>
        <w:pStyle w:val="P24"/>
        <w:framePr w:w="6713" w:h="376" w:hRule="exact" w:wrap="none" w:vAnchor="page" w:hAnchor="margin" w:x="45" w:y="13405"/>
        <w:rPr>
          <w:rStyle w:val="C3"/>
          <w:rtl w:val="0"/>
        </w:rPr>
      </w:pPr>
    </w:p>
    <w:p>
      <w:pPr>
        <w:pStyle w:val="P25"/>
        <w:framePr w:w="6661" w:h="249" w:hRule="exact" w:wrap="none" w:vAnchor="page" w:hAnchor="margin" w:x="71" w:y="13476"/>
        <w:rPr>
          <w:rStyle w:val="C19"/>
          <w:rtl w:val="0"/>
        </w:rPr>
      </w:pPr>
      <w:r>
        <w:rPr>
          <w:rStyle w:val="C19"/>
          <w:rtl w:val="0"/>
        </w:rPr>
        <w:t>Kritéria hodnocení</w:t>
      </w:r>
    </w:p>
    <w:p>
      <w:pPr>
        <w:pStyle w:val="P26"/>
        <w:framePr w:w="3918" w:h="376" w:hRule="exact" w:wrap="none" w:vAnchor="page" w:hAnchor="margin" w:x="6803" w:y="13405"/>
        <w:rPr>
          <w:rStyle w:val="C3"/>
          <w:rtl w:val="0"/>
        </w:rPr>
      </w:pPr>
    </w:p>
    <w:p>
      <w:pPr>
        <w:pStyle w:val="P27"/>
        <w:framePr w:w="3836" w:h="249" w:hRule="exact" w:wrap="none" w:vAnchor="page" w:hAnchor="margin" w:x="6859" w:y="13476"/>
        <w:rPr>
          <w:rStyle w:val="C20"/>
          <w:rtl w:val="0"/>
        </w:rPr>
      </w:pPr>
      <w:r>
        <w:rPr>
          <w:rStyle w:val="C20"/>
          <w:rtl w:val="0"/>
        </w:rPr>
        <w:t>Způsoby ověření</w:t>
      </w:r>
    </w:p>
    <w:p>
      <w:pPr>
        <w:pStyle w:val="P12"/>
        <w:framePr w:w="6710" w:h="376" w:hRule="exact" w:wrap="none" w:vAnchor="page" w:hAnchor="margin" w:x="45" w:y="13781"/>
        <w:rPr>
          <w:rStyle w:val="C3"/>
          <w:rtl w:val="0"/>
        </w:rPr>
      </w:pPr>
    </w:p>
    <w:p>
      <w:pPr>
        <w:pStyle w:val="P13"/>
        <w:framePr w:w="6658" w:h="249" w:hRule="exact" w:wrap="none" w:vAnchor="page" w:hAnchor="margin" w:x="71" w:y="13837"/>
        <w:rPr>
          <w:rStyle w:val="C11"/>
          <w:rtl w:val="0"/>
        </w:rPr>
      </w:pPr>
      <w:r>
        <w:rPr>
          <w:rStyle w:val="C11"/>
          <w:rtl w:val="0"/>
        </w:rPr>
        <w:t>a) Charakterizovat obsah smlouvy o mzdě pro člena managementu</w:t>
      </w:r>
    </w:p>
    <w:p>
      <w:pPr>
        <w:pStyle w:val="P28"/>
        <w:framePr w:w="3921" w:h="376" w:hRule="exact" w:wrap="none" w:vAnchor="page" w:hAnchor="margin" w:x="6800" w:y="13781"/>
        <w:rPr>
          <w:rStyle w:val="C3"/>
          <w:rtl w:val="0"/>
        </w:rPr>
      </w:pPr>
    </w:p>
    <w:p>
      <w:pPr>
        <w:pStyle w:val="P29"/>
        <w:framePr w:w="3839" w:h="249" w:hRule="exact" w:wrap="none" w:vAnchor="page" w:hAnchor="margin" w:x="6856" w:y="13837"/>
        <w:rPr>
          <w:rStyle w:val="C21"/>
          <w:rtl w:val="0"/>
        </w:rPr>
      </w:pPr>
      <w:r>
        <w:rPr>
          <w:rStyle w:val="C21"/>
          <w:rtl w:val="0"/>
        </w:rPr>
        <w:t>Ústní ověření</w:t>
      </w:r>
    </w:p>
    <w:p>
      <w:pPr>
        <w:pStyle w:val="P16"/>
        <w:framePr w:w="6710" w:h="376" w:hRule="exact" w:wrap="none" w:vAnchor="page" w:hAnchor="margin" w:x="45" w:y="14157"/>
        <w:rPr>
          <w:rStyle w:val="C3"/>
          <w:rtl w:val="0"/>
        </w:rPr>
      </w:pPr>
    </w:p>
    <w:p>
      <w:pPr>
        <w:pStyle w:val="P17"/>
        <w:framePr w:w="6658" w:h="249" w:hRule="exact" w:wrap="none" w:vAnchor="page" w:hAnchor="margin" w:x="71" w:y="14213"/>
        <w:rPr>
          <w:rStyle w:val="C13"/>
          <w:rtl w:val="0"/>
        </w:rPr>
      </w:pPr>
      <w:r>
        <w:rPr>
          <w:rStyle w:val="C13"/>
          <w:rtl w:val="0"/>
        </w:rPr>
        <w:t>b) Charakterizovat obsah mzdového/platového výměru</w:t>
      </w:r>
    </w:p>
    <w:p>
      <w:pPr>
        <w:pStyle w:val="P30"/>
        <w:framePr w:w="3921" w:h="376" w:hRule="exact" w:wrap="none" w:vAnchor="page" w:hAnchor="margin" w:x="6800" w:y="14157"/>
        <w:rPr>
          <w:rStyle w:val="C3"/>
          <w:rtl w:val="0"/>
        </w:rPr>
      </w:pPr>
    </w:p>
    <w:p>
      <w:pPr>
        <w:pStyle w:val="P31"/>
        <w:framePr w:w="3839" w:h="249" w:hRule="exact" w:wrap="none" w:vAnchor="page" w:hAnchor="margin" w:x="6856" w:y="14213"/>
        <w:rPr>
          <w:rStyle w:val="C22"/>
          <w:rtl w:val="0"/>
        </w:rPr>
      </w:pPr>
      <w:r>
        <w:rPr>
          <w:rStyle w:val="C22"/>
          <w:rtl w:val="0"/>
        </w:rPr>
        <w:t>Ústní ověření</w:t>
      </w:r>
    </w:p>
    <w:p>
      <w:pPr>
        <w:pStyle w:val="P32"/>
        <w:framePr w:w="10710" w:h="248" w:hRule="exact" w:wrap="none" w:vAnchor="page" w:hAnchor="margin" w:x="28" w:y="146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Ekonom práce, 14.6.2026 23:35:18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bude autorizovaná osoba sledovat komunikativní dovednosti uchazeče a správné používání odborné terminologie a výsledek sledování promítne do výsledného hodnocení.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praktických kritérií u kompetencí Aplikace zásad odměňování na konkrétní podmínky organizace, Posuzování pracovněprávních problémů na základě mzdových (platových) zásad a předpisů, Provádění mzdových (platových) rozborů a kalkulací a Vyhodnocování mzdových (platových) podmínek a prémiových ukazatelů bude autorizovaná osoba používat soubor minimálně 15 modelových situací (praktických příkladů). Autorizovaná osoba má možnost klást doplňující otázky.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A.Pro celkový soubor otázek: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B.Pro soubor vylosovaných otázek konkrétního uchazeče: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pro ověřování kompetencí použít test.</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Ekonom práce, 14.6.2026 23:35:18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bakalářské vzdělání ekonomického nebo technického směru a alespoň 6 let odborné praxe v činnostech vykonávaných v oblasti ekonomiky práce, resp. platů a mezd, z toho minimálně jeden rok v období posledních dvou let před podáním žádosti o udělení autorizace.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077" w:hRule="exact" w:wrap="none" w:vAnchor="page" w:hAnchor="margin" w:x="0" w:y="8621"/>
        <w:rPr>
          <w:rStyle w:val="C3"/>
          <w:rtl w:val="0"/>
        </w:rPr>
      </w:pPr>
    </w:p>
    <w:p>
      <w:pPr>
        <w:pStyle w:val="P35"/>
        <w:framePr w:w="10710" w:h="340" w:hRule="exact" w:wrap="none" w:vAnchor="page" w:hAnchor="margin" w:x="28" w:y="8621"/>
        <w:rPr>
          <w:rStyle w:val="C25"/>
          <w:rtl w:val="0"/>
        </w:rPr>
      </w:pPr>
      <w:r>
        <w:rPr>
          <w:rStyle w:val="C25"/>
          <w:rtl w:val="0"/>
        </w:rPr>
        <w:t>Nezbytné materiální a technické předpoklady pro provedení zkoušky</w:t>
      </w:r>
    </w:p>
    <w:p>
      <w:pPr>
        <w:keepNext w:val="0"/>
        <w:keepLines w:val="0"/>
        <w:framePr w:w="10766" w:h="1737"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znění zákoníku práce, PC, kalkulačka, místnost pro zkoušení.</w:t>
      </w:r>
    </w:p>
    <w:p>
      <w:pPr>
        <w:keepNext w:val="0"/>
        <w:keepLines w:val="0"/>
        <w:framePr w:w="10766" w:h="1737"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925"/>
        <w:rPr>
          <w:rStyle w:val="C3"/>
          <w:rtl w:val="0"/>
        </w:rPr>
      </w:pPr>
    </w:p>
    <w:p>
      <w:pPr>
        <w:pStyle w:val="P35"/>
        <w:framePr w:w="10710" w:h="340" w:hRule="exact" w:wrap="none" w:vAnchor="page" w:hAnchor="margin" w:x="28" w:y="10925"/>
        <w:rPr>
          <w:rStyle w:val="C25"/>
          <w:rtl w:val="0"/>
        </w:rPr>
      </w:pPr>
      <w:r>
        <w:rPr>
          <w:rStyle w:val="C25"/>
          <w:rtl w:val="0"/>
        </w:rPr>
        <w:t>Doba přípravy na zkoušku</w:t>
      </w:r>
    </w:p>
    <w:p>
      <w:pPr>
        <w:keepNext w:val="0"/>
        <w:keepLines w:val="0"/>
        <w:framePr w:w="10766" w:h="1036" w:hRule="exact" w:wrap="none" w:vAnchor="page" w:hAnchor="margin" w:x="0" w:y="11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528"/>
        <w:rPr>
          <w:rStyle w:val="C3"/>
          <w:rtl w:val="0"/>
        </w:rPr>
      </w:pPr>
    </w:p>
    <w:p>
      <w:pPr>
        <w:pStyle w:val="P35"/>
        <w:framePr w:w="10710" w:h="340" w:hRule="exact" w:wrap="none" w:vAnchor="page" w:hAnchor="margin" w:x="28" w:y="12528"/>
        <w:rPr>
          <w:rStyle w:val="C25"/>
          <w:rtl w:val="0"/>
        </w:rPr>
      </w:pPr>
      <w:r>
        <w:rPr>
          <w:rStyle w:val="C25"/>
          <w:rtl w:val="0"/>
        </w:rPr>
        <w:t>Doba pro vykonání zkoušky</w:t>
      </w:r>
    </w:p>
    <w:p>
      <w:pPr>
        <w:keepNext w:val="0"/>
        <w:keepLines w:val="0"/>
        <w:framePr w:w="10766" w:h="806" w:hRule="exact" w:wrap="none" w:vAnchor="page" w:hAnchor="margin" w:x="0" w:y="12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Ekonom práce, 14.6.2026 23:35:18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Hella Corporate Center Central &amp; Eastern Europe,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PROMINECON GROUP, a. s.</w:t>
      </w:r>
    </w:p>
    <w:p>
      <w:pPr>
        <w:pStyle w:val="P21"/>
        <w:framePr w:w="7654" w:h="331" w:hRule="exact" w:wrap="none" w:vAnchor="page" w:hAnchor="margin" w:x="28" w:y="15940"/>
        <w:rPr>
          <w:rStyle w:val="C16"/>
          <w:rtl w:val="0"/>
        </w:rPr>
      </w:pPr>
      <w:r>
        <w:rPr>
          <w:rStyle w:val="C16"/>
          <w:rtl w:val="0"/>
        </w:rPr>
        <w:t>Ekonom práce, 14.6.2026 23:35:18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