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6801A7" Type="http://schemas.openxmlformats.org/officeDocument/2006/relationships/officeDocument" Target="/word/document.xml" /><Relationship Id="coreR756801A7" Type="http://schemas.openxmlformats.org/package/2006/relationships/metadata/core-properties" Target="/docProps/core.xml" /><Relationship Id="customR756801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Sjednavatel pohřbení (kód: 69-021-M)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Sjednavatel pohřbení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komplexní objednávky smutečního obřadu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Obstarávání věcí vyplývajících z uzavřené smlouvy o obstarání pohřbu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Aplikování základních zásad pohřbívání v poradenství pro pozůstalé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Příjem platby za služby zabezpečované pohřební službou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15.08.2012 do: 06.12.2020</w:t>
      </w:r>
    </w:p>
    <w:p>
      <w:pPr>
        <w:pStyle w:val="P21"/>
        <w:framePr w:w="7654" w:h="331" w:hRule="exact" w:wrap="none" w:vAnchor="page" w:hAnchor="margin" w:x="28" w:y="15940"/>
        <w:rPr>
          <w:rStyle w:val="C16"/>
          <w:rtl w:val="0"/>
        </w:rPr>
      </w:pPr>
      <w:r>
        <w:rPr>
          <w:rStyle w:val="C16"/>
          <w:rtl w:val="0"/>
        </w:rPr>
        <w:t>Sjednavatel pohřbení, 31.7.2026 10:10:45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komplexní objednávky smutečního obřadu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kdo zodpovídá za kvalitu poskytované služby a které druhy pohřbívání by mohly vyústit v nelegální nebo neobhajitelné činy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všechny projevy vůle obstaravatele pohřbu vyžádat si služby u provozovatele pohřební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Poučit obstaravatele pohřbu o jeho právech, informovat ho o nabídce dílčích úkonů nebo komplexní služby, nejvhodnějšího zboží a jejich cenách podle zadání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jak postupovat, jde-li o převoz lidských pozůstatků z místa úmrtí – terénu po výzvě lékaře nebo policie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1055" w:hRule="exact" w:wrap="none" w:vAnchor="page" w:hAnchor="margin" w:x="45" w:y="6179"/>
        <w:rPr>
          <w:rStyle w:val="C3"/>
          <w:rtl w:val="0"/>
        </w:rPr>
      </w:pPr>
    </w:p>
    <w:p>
      <w:pPr>
        <w:pStyle w:val="P13"/>
        <w:framePr w:w="6658" w:h="928" w:hRule="exact" w:wrap="none" w:vAnchor="page" w:hAnchor="margin" w:x="71" w:y="6235"/>
        <w:rPr>
          <w:rStyle w:val="C11"/>
          <w:rtl w:val="0"/>
        </w:rPr>
      </w:pPr>
      <w:r>
        <w:rPr>
          <w:rStyle w:val="C11"/>
          <w:rtl w:val="0"/>
        </w:rPr>
        <w:t>e) Uvést, z čeho vyplývá právo předání potřebných osobních údajů obstaravatele pohřbu na obecní úřad, který vede v daném místě matriku úmrtí, právo na převzetí lidských pozůstatků ze zdravotnického zařízení nebo urny z krematoria</w:t>
      </w:r>
    </w:p>
    <w:p>
      <w:pPr>
        <w:pStyle w:val="P28"/>
        <w:framePr w:w="3921" w:h="1055" w:hRule="exact" w:wrap="none" w:vAnchor="page" w:hAnchor="margin" w:x="6800" w:y="6179"/>
        <w:rPr>
          <w:rStyle w:val="C3"/>
          <w:rtl w:val="0"/>
        </w:rPr>
      </w:pPr>
    </w:p>
    <w:p>
      <w:pPr>
        <w:pStyle w:val="P29"/>
        <w:framePr w:w="3839" w:h="928" w:hRule="exact" w:wrap="none" w:vAnchor="page" w:hAnchor="margin" w:x="6856" w:y="6235"/>
        <w:rPr>
          <w:rStyle w:val="C21"/>
          <w:rtl w:val="0"/>
        </w:rPr>
      </w:pPr>
      <w:r>
        <w:rPr>
          <w:rStyle w:val="C21"/>
          <w:rtl w:val="0"/>
        </w:rPr>
        <w:t>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f) Vytvořit návrh smlouvy o obstarání věci (určit strany smlouvy, předmět obstarání, jeho cenu, dobu, kdy má být obstarání uskutečněno a odměnu za obstarání) a vydat o jejím uzavření písemné potvrzení</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g) Charakterizovat používání zboží určeného k smutečním obřadům a k pohřbení</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h) Vytvořit pravidla pro shromažďování a zpracování osobních údajů</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i) Vyjmenovat základní údaje v listu o prohlídce mrtvého a v úmrtním listě a uvést osoby, které mají právní nárok na jejich držení</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Obstarávání věcí vyplývajících z uzavřené smlouvy o obstarání pohřbu</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Vysvětlit způsoby obstarání věcí a služeb spojených s uzavřenou objednávkou pohřbení u třetích osob</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Ústní ověření</w:t>
      </w:r>
    </w:p>
    <w:p>
      <w:pPr>
        <w:pStyle w:val="P16"/>
        <w:framePr w:w="6710" w:h="376" w:hRule="exact" w:wrap="none" w:vAnchor="page" w:hAnchor="margin" w:x="45" w:y="11627"/>
        <w:rPr>
          <w:rStyle w:val="C3"/>
          <w:rtl w:val="0"/>
        </w:rPr>
      </w:pPr>
    </w:p>
    <w:p>
      <w:pPr>
        <w:pStyle w:val="P17"/>
        <w:framePr w:w="6658" w:h="249" w:hRule="exact" w:wrap="none" w:vAnchor="page" w:hAnchor="margin" w:x="71" w:y="11683"/>
        <w:rPr>
          <w:rStyle w:val="C13"/>
          <w:rtl w:val="0"/>
        </w:rPr>
      </w:pPr>
      <w:r>
        <w:rPr>
          <w:rStyle w:val="C13"/>
          <w:rtl w:val="0"/>
        </w:rPr>
        <w:t>b) Sestavit smuteční oznámení podle požadavku objednavatele</w:t>
      </w:r>
    </w:p>
    <w:p>
      <w:pPr>
        <w:pStyle w:val="P30"/>
        <w:framePr w:w="3921" w:h="376" w:hRule="exact" w:wrap="none" w:vAnchor="page" w:hAnchor="margin" w:x="6800" w:y="11627"/>
        <w:rPr>
          <w:rStyle w:val="C3"/>
          <w:rtl w:val="0"/>
        </w:rPr>
      </w:pPr>
    </w:p>
    <w:p>
      <w:pPr>
        <w:pStyle w:val="P31"/>
        <w:framePr w:w="3839" w:h="249" w:hRule="exact" w:wrap="none" w:vAnchor="page" w:hAnchor="margin" w:x="6856" w:y="11683"/>
        <w:rPr>
          <w:rStyle w:val="C22"/>
          <w:rtl w:val="0"/>
        </w:rPr>
      </w:pPr>
      <w:r>
        <w:rPr>
          <w:rStyle w:val="C22"/>
          <w:rtl w:val="0"/>
        </w:rPr>
        <w:t>Praktické předvedení</w:t>
      </w:r>
    </w:p>
    <w:p>
      <w:pPr>
        <w:pStyle w:val="P12"/>
        <w:framePr w:w="6710" w:h="607" w:hRule="exact" w:wrap="none" w:vAnchor="page" w:hAnchor="margin" w:x="45" w:y="12003"/>
        <w:rPr>
          <w:rStyle w:val="C3"/>
          <w:rtl w:val="0"/>
        </w:rPr>
      </w:pPr>
    </w:p>
    <w:p>
      <w:pPr>
        <w:pStyle w:val="P13"/>
        <w:framePr w:w="6658" w:h="480" w:hRule="exact" w:wrap="none" w:vAnchor="page" w:hAnchor="margin" w:x="71" w:y="12059"/>
        <w:rPr>
          <w:rStyle w:val="C11"/>
          <w:rtl w:val="0"/>
        </w:rPr>
      </w:pPr>
      <w:r>
        <w:rPr>
          <w:rStyle w:val="C11"/>
          <w:rtl w:val="0"/>
        </w:rPr>
        <w:t>c) Vytvořit základní pravidla účinné vnitřní kontroly kvality a úplnosti činností a produktů v průběhu poskytování služby a před jejím vyúčtováním</w:t>
      </w:r>
    </w:p>
    <w:p>
      <w:pPr>
        <w:pStyle w:val="P28"/>
        <w:framePr w:w="3921" w:h="607" w:hRule="exact" w:wrap="none" w:vAnchor="page" w:hAnchor="margin" w:x="6800" w:y="12003"/>
        <w:rPr>
          <w:rStyle w:val="C3"/>
          <w:rtl w:val="0"/>
        </w:rPr>
      </w:pPr>
    </w:p>
    <w:p>
      <w:pPr>
        <w:pStyle w:val="P29"/>
        <w:framePr w:w="3839" w:h="480" w:hRule="exact" w:wrap="none" w:vAnchor="page" w:hAnchor="margin" w:x="6856" w:y="12059"/>
        <w:rPr>
          <w:rStyle w:val="C21"/>
          <w:rtl w:val="0"/>
        </w:rPr>
      </w:pPr>
      <w:r>
        <w:rPr>
          <w:rStyle w:val="C21"/>
          <w:rtl w:val="0"/>
        </w:rPr>
        <w:t>Praktické předvedení</w:t>
      </w:r>
    </w:p>
    <w:p>
      <w:pPr>
        <w:pStyle w:val="P16"/>
        <w:framePr w:w="6710" w:h="607" w:hRule="exact" w:wrap="none" w:vAnchor="page" w:hAnchor="margin" w:x="45" w:y="12610"/>
        <w:rPr>
          <w:rStyle w:val="C3"/>
          <w:rtl w:val="0"/>
        </w:rPr>
      </w:pPr>
    </w:p>
    <w:p>
      <w:pPr>
        <w:pStyle w:val="P17"/>
        <w:framePr w:w="6658" w:h="480" w:hRule="exact" w:wrap="none" w:vAnchor="page" w:hAnchor="margin" w:x="71" w:y="12666"/>
        <w:rPr>
          <w:rStyle w:val="C13"/>
          <w:rtl w:val="0"/>
        </w:rPr>
      </w:pPr>
      <w:r>
        <w:rPr>
          <w:rStyle w:val="C13"/>
          <w:rtl w:val="0"/>
        </w:rPr>
        <w:t>d) Vyjmenovat doklady nutné k zajištění mezinárodního převozu lidských pozůstatků nebo ostatků</w:t>
      </w:r>
    </w:p>
    <w:p>
      <w:pPr>
        <w:pStyle w:val="P30"/>
        <w:framePr w:w="3921" w:h="607" w:hRule="exact" w:wrap="none" w:vAnchor="page" w:hAnchor="margin" w:x="6800" w:y="12610"/>
        <w:rPr>
          <w:rStyle w:val="C3"/>
          <w:rtl w:val="0"/>
        </w:rPr>
      </w:pPr>
    </w:p>
    <w:p>
      <w:pPr>
        <w:pStyle w:val="P31"/>
        <w:framePr w:w="3839" w:h="480" w:hRule="exact" w:wrap="none" w:vAnchor="page" w:hAnchor="margin" w:x="6856" w:y="12666"/>
        <w:rPr>
          <w:rStyle w:val="C22"/>
          <w:rtl w:val="0"/>
        </w:rPr>
      </w:pPr>
      <w:r>
        <w:rPr>
          <w:rStyle w:val="C22"/>
          <w:rtl w:val="0"/>
        </w:rPr>
        <w:t>Ústní ověření</w:t>
      </w:r>
    </w:p>
    <w:p>
      <w:pPr>
        <w:pStyle w:val="P12"/>
        <w:framePr w:w="6710" w:h="831" w:hRule="exact" w:wrap="none" w:vAnchor="page" w:hAnchor="margin" w:x="45" w:y="13217"/>
        <w:rPr>
          <w:rStyle w:val="C3"/>
          <w:rtl w:val="0"/>
        </w:rPr>
      </w:pPr>
    </w:p>
    <w:p>
      <w:pPr>
        <w:pStyle w:val="P13"/>
        <w:framePr w:w="6658" w:h="704" w:hRule="exact" w:wrap="none" w:vAnchor="page" w:hAnchor="margin" w:x="71" w:y="13273"/>
        <w:rPr>
          <w:rStyle w:val="C11"/>
          <w:rtl w:val="0"/>
        </w:rPr>
      </w:pPr>
      <w:r>
        <w:rPr>
          <w:rStyle w:val="C11"/>
          <w:rtl w:val="0"/>
        </w:rPr>
        <w:t>e) Popsat postup přípravy a kontroly zajištění objednaných služeb v místě konání pohřebního obřadu, postup odsouhlasení se zákazníkem a při řešení reklamací</w:t>
      </w:r>
    </w:p>
    <w:p>
      <w:pPr>
        <w:pStyle w:val="P28"/>
        <w:framePr w:w="3921" w:h="831" w:hRule="exact" w:wrap="none" w:vAnchor="page" w:hAnchor="margin" w:x="6800" w:y="13217"/>
        <w:rPr>
          <w:rStyle w:val="C3"/>
          <w:rtl w:val="0"/>
        </w:rPr>
      </w:pPr>
    </w:p>
    <w:p>
      <w:pPr>
        <w:pStyle w:val="P29"/>
        <w:framePr w:w="3839" w:h="704" w:hRule="exact" w:wrap="none" w:vAnchor="page" w:hAnchor="margin" w:x="6856" w:y="13273"/>
        <w:rPr>
          <w:rStyle w:val="C21"/>
          <w:rtl w:val="0"/>
        </w:rPr>
      </w:pPr>
      <w:r>
        <w:rPr>
          <w:rStyle w:val="C21"/>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31.7.2026 10:10:45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rozhodující kritéria při výběru provozovatele pohřební služby a předložit argumenty pro důstojné rozloučení se zemřelým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příklady vhodné úpravy zevnějšku sjednavatele pohřbení, rizika výběru určitého prostředí a jeho vybavení pro průběh sjednávání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fiktivní telefonní hovor s pozůstalým (figurant) a vytvořit návrh odpovědi prostřednictvím elektronické pošty pozůstalému na elektronickou zprávu podle zadání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Napsat vlastní rukou dopis pozůstalému podle zadání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1055" w:hRule="exact" w:wrap="none" w:vAnchor="page" w:hAnchor="margin" w:x="45" w:y="5391"/>
        <w:rPr>
          <w:rStyle w:val="C3"/>
          <w:rtl w:val="0"/>
        </w:rPr>
      </w:pPr>
    </w:p>
    <w:p>
      <w:pPr>
        <w:pStyle w:val="P13"/>
        <w:framePr w:w="6658" w:h="928" w:hRule="exact" w:wrap="none" w:vAnchor="page" w:hAnchor="margin" w:x="71" w:y="5447"/>
        <w:rPr>
          <w:rStyle w:val="C11"/>
          <w:rtl w:val="0"/>
        </w:rPr>
      </w:pPr>
      <w:r>
        <w:rPr>
          <w:rStyle w:val="C11"/>
          <w:rtl w:val="0"/>
        </w:rPr>
        <w:t>e) Navrhnout, jakými vhodnými způsoby lze u pozůstalých podporovat práci se vzpomínkami a ventilaci emocí. (Uvést otázky, kterými lze usnadňovat vyprávění pozůstalých klientů a objasnit význam ticha v poradenství pro pozůstalé.)</w:t>
      </w:r>
    </w:p>
    <w:p>
      <w:pPr>
        <w:pStyle w:val="P28"/>
        <w:framePr w:w="3921" w:h="1055" w:hRule="exact" w:wrap="none" w:vAnchor="page" w:hAnchor="margin" w:x="6800" w:y="5391"/>
        <w:rPr>
          <w:rStyle w:val="C3"/>
          <w:rtl w:val="0"/>
        </w:rPr>
      </w:pPr>
    </w:p>
    <w:p>
      <w:pPr>
        <w:pStyle w:val="P29"/>
        <w:framePr w:w="3839" w:h="928" w:hRule="exact" w:wrap="none" w:vAnchor="page" w:hAnchor="margin" w:x="6856" w:y="5447"/>
        <w:rPr>
          <w:rStyle w:val="C21"/>
          <w:rtl w:val="0"/>
        </w:rPr>
      </w:pPr>
      <w:r>
        <w:rPr>
          <w:rStyle w:val="C21"/>
          <w:rtl w:val="0"/>
        </w:rPr>
        <w:t>Ústní ověření</w:t>
      </w:r>
    </w:p>
    <w:p>
      <w:pPr>
        <w:pStyle w:val="P16"/>
        <w:framePr w:w="6710" w:h="831" w:hRule="exact" w:wrap="none" w:vAnchor="page" w:hAnchor="margin" w:x="45" w:y="6446"/>
        <w:rPr>
          <w:rStyle w:val="C3"/>
          <w:rtl w:val="0"/>
        </w:rPr>
      </w:pPr>
    </w:p>
    <w:p>
      <w:pPr>
        <w:pStyle w:val="P17"/>
        <w:framePr w:w="6658" w:h="704" w:hRule="exact" w:wrap="none" w:vAnchor="page" w:hAnchor="margin" w:x="71" w:y="6502"/>
        <w:rPr>
          <w:rStyle w:val="C13"/>
          <w:rtl w:val="0"/>
        </w:rPr>
      </w:pPr>
      <w:r>
        <w:rPr>
          <w:rStyle w:val="C13"/>
          <w:rtl w:val="0"/>
        </w:rPr>
        <w:t>f) Identifikovat rizika, která mohou představovat některé situace v obstaravatelském vztahu (např. sjednávat pohřeb pro své přátele nebo dělat si přátele ze svých klientů apod.)</w:t>
      </w:r>
    </w:p>
    <w:p>
      <w:pPr>
        <w:pStyle w:val="P30"/>
        <w:framePr w:w="3921" w:h="831" w:hRule="exact" w:wrap="none" w:vAnchor="page" w:hAnchor="margin" w:x="6800" w:y="6446"/>
        <w:rPr>
          <w:rStyle w:val="C3"/>
          <w:rtl w:val="0"/>
        </w:rPr>
      </w:pPr>
    </w:p>
    <w:p>
      <w:pPr>
        <w:pStyle w:val="P31"/>
        <w:framePr w:w="3839" w:h="704"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390"/>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Aplikování základních zásad pohřbívání v poradenství pro pozůstalé</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a) Vysvětlit, ve kterých prostorách nelze sjednávat pohřbení a proč</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Ústní ověření</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Vyjmenovat podmínky pro povolenou reklamu v pohřebnictví</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Ústní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c) Popsat, co musí klient přinést s sebou do provozovny pohřební služby, aby mohl sjednat pohřbení</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d) Poradit, jak uzavřít nájemní smlouvu k hrobovému místu</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Ústní ověření</w:t>
      </w:r>
    </w:p>
    <w:p>
      <w:pPr>
        <w:pStyle w:val="P12"/>
        <w:framePr w:w="6710" w:h="607" w:hRule="exact" w:wrap="none" w:vAnchor="page" w:hAnchor="margin" w:x="45" w:y="10377"/>
        <w:rPr>
          <w:rStyle w:val="C3"/>
          <w:rtl w:val="0"/>
        </w:rPr>
      </w:pPr>
    </w:p>
    <w:p>
      <w:pPr>
        <w:pStyle w:val="P13"/>
        <w:framePr w:w="6658" w:h="480" w:hRule="exact" w:wrap="none" w:vAnchor="page" w:hAnchor="margin" w:x="71" w:y="10433"/>
        <w:rPr>
          <w:rStyle w:val="C11"/>
          <w:rtl w:val="0"/>
        </w:rPr>
      </w:pPr>
      <w:r>
        <w:rPr>
          <w:rStyle w:val="C11"/>
          <w:rtl w:val="0"/>
        </w:rPr>
        <w:t>e) Vysvětlit účel parte, za jakých podmínek jej lze zveřejnit a formy kondolence</w:t>
      </w:r>
    </w:p>
    <w:p>
      <w:pPr>
        <w:pStyle w:val="P28"/>
        <w:framePr w:w="3921" w:h="607" w:hRule="exact" w:wrap="none" w:vAnchor="page" w:hAnchor="margin" w:x="6800" w:y="10377"/>
        <w:rPr>
          <w:rStyle w:val="C3"/>
          <w:rtl w:val="0"/>
        </w:rPr>
      </w:pPr>
    </w:p>
    <w:p>
      <w:pPr>
        <w:pStyle w:val="P29"/>
        <w:framePr w:w="3839" w:h="480" w:hRule="exact" w:wrap="none" w:vAnchor="page" w:hAnchor="margin" w:x="6856" w:y="10433"/>
        <w:rPr>
          <w:rStyle w:val="C21"/>
          <w:rtl w:val="0"/>
        </w:rPr>
      </w:pPr>
      <w:r>
        <w:rPr>
          <w:rStyle w:val="C21"/>
          <w:rtl w:val="0"/>
        </w:rPr>
        <w:t>Ústní ověření</w:t>
      </w:r>
    </w:p>
    <w:p>
      <w:pPr>
        <w:pStyle w:val="P16"/>
        <w:framePr w:w="6710" w:h="607" w:hRule="exact" w:wrap="none" w:vAnchor="page" w:hAnchor="margin" w:x="45" w:y="10984"/>
        <w:rPr>
          <w:rStyle w:val="C3"/>
          <w:rtl w:val="0"/>
        </w:rPr>
      </w:pPr>
    </w:p>
    <w:p>
      <w:pPr>
        <w:pStyle w:val="P17"/>
        <w:framePr w:w="6658" w:h="480" w:hRule="exact" w:wrap="none" w:vAnchor="page" w:hAnchor="margin" w:x="71" w:y="11040"/>
        <w:rPr>
          <w:rStyle w:val="C13"/>
          <w:rtl w:val="0"/>
        </w:rPr>
      </w:pPr>
      <w:r>
        <w:rPr>
          <w:rStyle w:val="C13"/>
          <w:rtl w:val="0"/>
        </w:rPr>
        <w:t>f) Vyjmenovat možnosti čerpání pracovního volna s náhradou mzdy nebo platu na pohřební obřad</w:t>
      </w:r>
    </w:p>
    <w:p>
      <w:pPr>
        <w:pStyle w:val="P30"/>
        <w:framePr w:w="3921" w:h="607" w:hRule="exact" w:wrap="none" w:vAnchor="page" w:hAnchor="margin" w:x="6800" w:y="10984"/>
        <w:rPr>
          <w:rStyle w:val="C3"/>
          <w:rtl w:val="0"/>
        </w:rPr>
      </w:pPr>
    </w:p>
    <w:p>
      <w:pPr>
        <w:pStyle w:val="P31"/>
        <w:framePr w:w="3839" w:h="480" w:hRule="exact" w:wrap="none" w:vAnchor="page" w:hAnchor="margin" w:x="6856" w:y="11040"/>
        <w:rPr>
          <w:rStyle w:val="C22"/>
          <w:rtl w:val="0"/>
        </w:rPr>
      </w:pPr>
      <w:r>
        <w:rPr>
          <w:rStyle w:val="C22"/>
          <w:rtl w:val="0"/>
        </w:rPr>
        <w:t>Ústní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g) Vystavit doklad pro smuteční hosty o účasti na pohřbu</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Praktické předvedení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h) Poradit při úmrtí mimo zdravotnické zařízení</w:t>
      </w:r>
    </w:p>
    <w:p>
      <w:pPr>
        <w:pStyle w:val="P30"/>
        <w:framePr w:w="3921" w:h="376" w:hRule="exact" w:wrap="none" w:vAnchor="page" w:hAnchor="margin" w:x="6800" w:y="11967"/>
        <w:rPr>
          <w:rStyle w:val="C3"/>
          <w:rtl w:val="0"/>
        </w:rPr>
      </w:pPr>
    </w:p>
    <w:p>
      <w:pPr>
        <w:pStyle w:val="P31"/>
        <w:framePr w:w="3839" w:h="249" w:hRule="exact" w:wrap="none" w:vAnchor="page" w:hAnchor="margin" w:x="6856" w:y="12023"/>
        <w:rPr>
          <w:rStyle w:val="C22"/>
          <w:rtl w:val="0"/>
        </w:rPr>
      </w:pPr>
      <w:r>
        <w:rPr>
          <w:rStyle w:val="C22"/>
          <w:rtl w:val="0"/>
        </w:rPr>
        <w:t>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i) Uvést případy, kdy nelze upustit od zdravotní pitvy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Ústní ověření</w:t>
      </w:r>
    </w:p>
    <w:p>
      <w:pPr>
        <w:pStyle w:val="P16"/>
        <w:framePr w:w="6710" w:h="607" w:hRule="exact" w:wrap="none" w:vAnchor="page" w:hAnchor="margin" w:x="45" w:y="12720"/>
        <w:rPr>
          <w:rStyle w:val="C3"/>
          <w:rtl w:val="0"/>
        </w:rPr>
      </w:pPr>
    </w:p>
    <w:p>
      <w:pPr>
        <w:pStyle w:val="P17"/>
        <w:framePr w:w="6658" w:h="480" w:hRule="exact" w:wrap="none" w:vAnchor="page" w:hAnchor="margin" w:x="71" w:y="12776"/>
        <w:rPr>
          <w:rStyle w:val="C13"/>
          <w:rtl w:val="0"/>
        </w:rPr>
      </w:pPr>
      <w:r>
        <w:rPr>
          <w:rStyle w:val="C13"/>
          <w:rtl w:val="0"/>
        </w:rPr>
        <w:t>j) Poradit postup při úmrtí v zahraničí (i mimo členské státy EU) a při úmrtí cizince nebo člověka bez totožnosti v ČR</w:t>
      </w:r>
    </w:p>
    <w:p>
      <w:pPr>
        <w:pStyle w:val="P30"/>
        <w:framePr w:w="3921" w:h="607" w:hRule="exact" w:wrap="none" w:vAnchor="page" w:hAnchor="margin" w:x="6800" w:y="12720"/>
        <w:rPr>
          <w:rStyle w:val="C3"/>
          <w:rtl w:val="0"/>
        </w:rPr>
      </w:pPr>
    </w:p>
    <w:p>
      <w:pPr>
        <w:pStyle w:val="P31"/>
        <w:framePr w:w="3839" w:h="480" w:hRule="exact" w:wrap="none" w:vAnchor="page" w:hAnchor="margin" w:x="6856" w:y="12776"/>
        <w:rPr>
          <w:rStyle w:val="C22"/>
          <w:rtl w:val="0"/>
        </w:rPr>
      </w:pPr>
      <w:r>
        <w:rPr>
          <w:rStyle w:val="C22"/>
          <w:rtl w:val="0"/>
        </w:rPr>
        <w:t>Ústní ověření</w:t>
      </w:r>
    </w:p>
    <w:p>
      <w:pPr>
        <w:pStyle w:val="P12"/>
        <w:framePr w:w="6710" w:h="607" w:hRule="exact" w:wrap="none" w:vAnchor="page" w:hAnchor="margin" w:x="45" w:y="13326"/>
        <w:rPr>
          <w:rStyle w:val="C3"/>
          <w:rtl w:val="0"/>
        </w:rPr>
      </w:pPr>
    </w:p>
    <w:p>
      <w:pPr>
        <w:pStyle w:val="P13"/>
        <w:framePr w:w="6658" w:h="480" w:hRule="exact" w:wrap="none" w:vAnchor="page" w:hAnchor="margin" w:x="71" w:y="13382"/>
        <w:rPr>
          <w:rStyle w:val="C11"/>
          <w:rtl w:val="0"/>
        </w:rPr>
      </w:pPr>
      <w:r>
        <w:rPr>
          <w:rStyle w:val="C11"/>
          <w:rtl w:val="0"/>
        </w:rPr>
        <w:t>k) Nabídnout více forem financování pohřbu (pohřebné, pojištění, pohřeb na splátky, odúmrť, darování těla pro vědu, výzkum a výuku)</w:t>
      </w:r>
    </w:p>
    <w:p>
      <w:pPr>
        <w:pStyle w:val="P28"/>
        <w:framePr w:w="3921" w:h="607" w:hRule="exact" w:wrap="none" w:vAnchor="page" w:hAnchor="margin" w:x="6800" w:y="13326"/>
        <w:rPr>
          <w:rStyle w:val="C3"/>
          <w:rtl w:val="0"/>
        </w:rPr>
      </w:pPr>
    </w:p>
    <w:p>
      <w:pPr>
        <w:pStyle w:val="P29"/>
        <w:framePr w:w="3839" w:h="480" w:hRule="exact" w:wrap="none" w:vAnchor="page" w:hAnchor="margin" w:x="6856" w:y="13382"/>
        <w:rPr>
          <w:rStyle w:val="C21"/>
          <w:rtl w:val="0"/>
        </w:rPr>
      </w:pPr>
      <w:r>
        <w:rPr>
          <w:rStyle w:val="C21"/>
          <w:rtl w:val="0"/>
        </w:rPr>
        <w:t>Ústní ověření</w:t>
      </w:r>
    </w:p>
    <w:p>
      <w:pPr>
        <w:pStyle w:val="P16"/>
        <w:framePr w:w="6710" w:h="376" w:hRule="exact" w:wrap="none" w:vAnchor="page" w:hAnchor="margin" w:x="45" w:y="13933"/>
        <w:rPr>
          <w:rStyle w:val="C3"/>
          <w:rtl w:val="0"/>
        </w:rPr>
      </w:pPr>
    </w:p>
    <w:p>
      <w:pPr>
        <w:pStyle w:val="P17"/>
        <w:framePr w:w="6658" w:h="249" w:hRule="exact" w:wrap="none" w:vAnchor="page" w:hAnchor="margin" w:x="71" w:y="13989"/>
        <w:rPr>
          <w:rStyle w:val="C13"/>
          <w:rtl w:val="0"/>
        </w:rPr>
      </w:pPr>
      <w:r>
        <w:rPr>
          <w:rStyle w:val="C13"/>
          <w:rtl w:val="0"/>
        </w:rPr>
        <w:t>l) Vysvětlit, jak řešit situaci, nechce-li nikdo vypravit pohřeb</w:t>
      </w:r>
    </w:p>
    <w:p>
      <w:pPr>
        <w:pStyle w:val="P30"/>
        <w:framePr w:w="3921" w:h="376" w:hRule="exact" w:wrap="none" w:vAnchor="page" w:hAnchor="margin" w:x="6800" w:y="13933"/>
        <w:rPr>
          <w:rStyle w:val="C3"/>
          <w:rtl w:val="0"/>
        </w:rPr>
      </w:pPr>
    </w:p>
    <w:p>
      <w:pPr>
        <w:pStyle w:val="P31"/>
        <w:framePr w:w="3839" w:h="249" w:hRule="exact" w:wrap="none" w:vAnchor="page" w:hAnchor="margin" w:x="6856" w:y="13989"/>
        <w:rPr>
          <w:rStyle w:val="C22"/>
          <w:rtl w:val="0"/>
        </w:rPr>
      </w:pPr>
      <w:r>
        <w:rPr>
          <w:rStyle w:val="C22"/>
          <w:rtl w:val="0"/>
        </w:rPr>
        <w:t>Ústní ověření</w:t>
      </w:r>
    </w:p>
    <w:p>
      <w:pPr>
        <w:pStyle w:val="P12"/>
        <w:framePr w:w="6710" w:h="607" w:hRule="exact" w:wrap="none" w:vAnchor="page" w:hAnchor="margin" w:x="45" w:y="14310"/>
        <w:rPr>
          <w:rStyle w:val="C3"/>
          <w:rtl w:val="0"/>
        </w:rPr>
      </w:pPr>
    </w:p>
    <w:p>
      <w:pPr>
        <w:pStyle w:val="P13"/>
        <w:framePr w:w="6658" w:h="480" w:hRule="exact" w:wrap="none" w:vAnchor="page" w:hAnchor="margin" w:x="71" w:y="14366"/>
        <w:rPr>
          <w:rStyle w:val="C11"/>
          <w:rtl w:val="0"/>
        </w:rPr>
      </w:pPr>
      <w:r>
        <w:rPr>
          <w:rStyle w:val="C11"/>
          <w:rtl w:val="0"/>
        </w:rPr>
        <w:t>m) Uvést, kdo odpovídá za přiměřené náklady spojené s pohřbem (i v případě odúmrti)</w:t>
      </w:r>
    </w:p>
    <w:p>
      <w:pPr>
        <w:pStyle w:val="P28"/>
        <w:framePr w:w="3921" w:h="607" w:hRule="exact" w:wrap="none" w:vAnchor="page" w:hAnchor="margin" w:x="6800" w:y="14310"/>
        <w:rPr>
          <w:rStyle w:val="C3"/>
          <w:rtl w:val="0"/>
        </w:rPr>
      </w:pPr>
    </w:p>
    <w:p>
      <w:pPr>
        <w:pStyle w:val="P29"/>
        <w:framePr w:w="3839" w:h="480" w:hRule="exact" w:wrap="none" w:vAnchor="page" w:hAnchor="margin" w:x="6856" w:y="14366"/>
        <w:rPr>
          <w:rStyle w:val="C21"/>
          <w:rtl w:val="0"/>
        </w:rPr>
      </w:pPr>
      <w:r>
        <w:rPr>
          <w:rStyle w:val="C21"/>
          <w:rtl w:val="0"/>
        </w:rPr>
        <w:t>Ústní ověření</w:t>
      </w:r>
    </w:p>
    <w:p>
      <w:pPr>
        <w:pStyle w:val="P16"/>
        <w:framePr w:w="6710" w:h="607" w:hRule="exact" w:wrap="none" w:vAnchor="page" w:hAnchor="margin" w:x="45" w:y="14916"/>
        <w:rPr>
          <w:rStyle w:val="C3"/>
          <w:rtl w:val="0"/>
        </w:rPr>
      </w:pPr>
    </w:p>
    <w:p>
      <w:pPr>
        <w:pStyle w:val="P17"/>
        <w:framePr w:w="6658" w:h="480" w:hRule="exact" w:wrap="none" w:vAnchor="page" w:hAnchor="margin" w:x="71" w:y="14972"/>
        <w:rPr>
          <w:rStyle w:val="C13"/>
          <w:rtl w:val="0"/>
        </w:rPr>
      </w:pPr>
      <w:r>
        <w:rPr>
          <w:rStyle w:val="C13"/>
          <w:rtl w:val="0"/>
        </w:rPr>
        <w:t>n) Popsat způsoby pohřbů a pohřbívání u lidí z jiných kultur (spjatých s územím ČR)</w:t>
      </w:r>
    </w:p>
    <w:p>
      <w:pPr>
        <w:pStyle w:val="P30"/>
        <w:framePr w:w="3921" w:h="607" w:hRule="exact" w:wrap="none" w:vAnchor="page" w:hAnchor="margin" w:x="6800" w:y="14916"/>
        <w:rPr>
          <w:rStyle w:val="C3"/>
          <w:rtl w:val="0"/>
        </w:rPr>
      </w:pPr>
    </w:p>
    <w:p>
      <w:pPr>
        <w:pStyle w:val="P31"/>
        <w:framePr w:w="3839" w:h="480" w:hRule="exact" w:wrap="none" w:vAnchor="page" w:hAnchor="margin" w:x="6856" w:y="14972"/>
        <w:rPr>
          <w:rStyle w:val="C22"/>
          <w:rtl w:val="0"/>
        </w:rPr>
      </w:pPr>
      <w:r>
        <w:rPr>
          <w:rStyle w:val="C22"/>
          <w:rtl w:val="0"/>
        </w:rPr>
        <w:t>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31.7.2026 10:10:45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platby za služby zabezpečované pohřební službou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pokladní a účetní operace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údaje a data nutná pro fakturaci pohřebních služeb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Vysvětlit základní postupy  účetnictví v odběratelsko- dodavatelských vztazích</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31.7.2026 10:10:45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Klade důraz nejen na znalosti a dovednosti uchazeče, ale i na jeho osobnostní předpoklady, především na jeho autentičnost, empatii, aktivní naslouchání, důvěru a vědomost respektovat sníženou schopnost pozůstalých vnímat detaily v nabízených službách. V žádném případě nesmí uchazeč zneužít jejich mimořádné situace ke svému neoprávněnému či nepřiměřenému finančnímu ani jinému prospěchu.</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80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33"/>
        <w:framePr w:w="10766" w:h="7171" w:hRule="exact" w:wrap="none" w:vAnchor="page" w:hAnchor="margin" w:x="0" w:y="8461"/>
        <w:rPr>
          <w:rStyle w:val="C3"/>
          <w:rtl w:val="0"/>
        </w:rPr>
      </w:pPr>
    </w:p>
    <w:p>
      <w:pPr>
        <w:pStyle w:val="P35"/>
        <w:framePr w:w="10710" w:h="547" w:hRule="exact" w:wrap="none" w:vAnchor="page" w:hAnchor="margin" w:x="28" w:y="8461"/>
        <w:rPr>
          <w:rStyle w:val="C25"/>
          <w:rtl w:val="0"/>
        </w:rPr>
      </w:pPr>
      <w:r>
        <w:rPr>
          <w:rStyle w:val="C25"/>
          <w:rtl w:val="0"/>
        </w:rPr>
        <w:t>Požadavky na odbornou způsobilost autorizované osoby, resp. autorizovaného zástupce autorizované osoby</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humanitního směru a alespoň 5 let odborné praxe v oblasti provozování pohřební služby, z toho minimálně jeden rok v období posledních dvou let před podáním žádosti o udělení autorizace.</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sjednavatel pohřbení a střední vzdělání s maturitní zkouškou a alespoň 5 let odborné praxe v oblasti provozování pohřební služby, z toho minimálně jeden rok v období posledních dvou let před podáním žádosti o udělení autorizace.</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21"/>
        <w:framePr w:w="7654" w:h="331" w:hRule="exact" w:wrap="none" w:vAnchor="page" w:hAnchor="margin" w:x="28" w:y="15940"/>
        <w:rPr>
          <w:rStyle w:val="C16"/>
          <w:rtl w:val="0"/>
        </w:rPr>
      </w:pPr>
      <w:r>
        <w:rPr>
          <w:rStyle w:val="C16"/>
          <w:rtl w:val="0"/>
        </w:rPr>
        <w:t>Sjednavatel pohřbení, 31.7.2026 10:10:45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připojení</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a připojením na internet k ověření způsobilosti práce na PC</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sestavování objednávky pohřbu</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Předlohy pro sestavení smutečního oznámení</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rakví a květinových darů</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Pokladní doklad</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100"/>
        <w:rPr>
          <w:rStyle w:val="C3"/>
          <w:rtl w:val="0"/>
        </w:rPr>
      </w:pPr>
    </w:p>
    <w:p>
      <w:pPr>
        <w:pStyle w:val="P35"/>
        <w:framePr w:w="10710" w:h="340" w:hRule="exact" w:wrap="none" w:vAnchor="page" w:hAnchor="margin" w:x="28" w:y="6100"/>
        <w:rPr>
          <w:rStyle w:val="C25"/>
          <w:rtl w:val="0"/>
        </w:rPr>
      </w:pPr>
      <w:r>
        <w:rPr>
          <w:rStyle w:val="C25"/>
          <w:rtl w:val="0"/>
        </w:rPr>
        <w:t>Doba přípravy na zkoušku</w:t>
      </w:r>
    </w:p>
    <w:p>
      <w:pPr>
        <w:keepNext w:val="0"/>
        <w:keepLines w:val="0"/>
        <w:framePr w:w="10766" w:h="1036" w:hRule="exact" w:wrap="none" w:vAnchor="page" w:hAnchor="margin" w:x="0" w:y="6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7703"/>
        <w:rPr>
          <w:rStyle w:val="C3"/>
          <w:rtl w:val="0"/>
        </w:rPr>
      </w:pPr>
    </w:p>
    <w:p>
      <w:pPr>
        <w:pStyle w:val="P35"/>
        <w:framePr w:w="10710" w:h="340" w:hRule="exact" w:wrap="none" w:vAnchor="page" w:hAnchor="margin" w:x="28" w:y="7703"/>
        <w:rPr>
          <w:rStyle w:val="C25"/>
          <w:rtl w:val="0"/>
        </w:rPr>
      </w:pPr>
      <w:r>
        <w:rPr>
          <w:rStyle w:val="C25"/>
          <w:rtl w:val="0"/>
        </w:rPr>
        <w:t>Doba pro vykonání zkoušky</w:t>
      </w:r>
    </w:p>
    <w:p>
      <w:pPr>
        <w:keepNext w:val="0"/>
        <w:keepLines w:val="0"/>
        <w:framePr w:w="10766" w:h="806"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Sjednavatel pohřbení, 31.7.2026 10:10:45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Václav Graf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pohřebnictví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sociologie a andragogiky Filozofické fakulty Univerzity Palackého v Olomouci</w:t>
      </w:r>
    </w:p>
    <w:p>
      <w:pPr>
        <w:pStyle w:val="P21"/>
        <w:framePr w:w="7654" w:h="331" w:hRule="exact" w:wrap="none" w:vAnchor="page" w:hAnchor="margin" w:x="28" w:y="15940"/>
        <w:rPr>
          <w:rStyle w:val="C16"/>
          <w:rtl w:val="0"/>
        </w:rPr>
      </w:pPr>
      <w:r>
        <w:rPr>
          <w:rStyle w:val="C16"/>
          <w:rtl w:val="0"/>
        </w:rPr>
        <w:t>Sjednavatel pohřbení, 31.7.2026 10:10:45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