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3F2E7" Type="http://schemas.openxmlformats.org/officeDocument/2006/relationships/officeDocument" Target="/word/document.xml" /><Relationship Id="coreR4503F2E7" Type="http://schemas.openxmlformats.org/package/2006/relationships/metadata/core-properties" Target="/docProps/core.xml" /><Relationship Id="customR4503F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Sjednavatel pohřbení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Obstarávání věcí vyplývajících z uzavřené smlouvy o obstarání pohřbu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Sjednavatel pohřbení, 1.5.2026 14:18:21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nebo neobhajitelné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obstaravatele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obstaravatele pohřbu o jeho právech, informovat ho o nabídce dílčích úkonů nebo komplexní služby, nejvhodnějšího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jak postupovat, jde-li o převoz lidských pozůstatků z místa úmrtí – terénu po výzvě lékaře nebo policie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1055" w:hRule="exact" w:wrap="none" w:vAnchor="page" w:hAnchor="margin" w:x="45" w:y="6179"/>
        <w:rPr>
          <w:rStyle w:val="C3"/>
          <w:rtl w:val="0"/>
        </w:rPr>
      </w:pPr>
    </w:p>
    <w:p>
      <w:pPr>
        <w:pStyle w:val="P13"/>
        <w:framePr w:w="6658" w:h="928" w:hRule="exact" w:wrap="none" w:vAnchor="page" w:hAnchor="margin" w:x="71" w:y="6235"/>
        <w:rPr>
          <w:rStyle w:val="C11"/>
          <w:rtl w:val="0"/>
        </w:rPr>
      </w:pPr>
      <w:r>
        <w:rPr>
          <w:rStyle w:val="C11"/>
          <w:rtl w:val="0"/>
        </w:rPr>
        <w:t>e) Uvést, z čeho vyplývá právo předání potřebných osobních údajů obstaravatele pohřbu na obecní úřad, který vede v daném místě matriku úmrtí, právo na převzetí lidských pozůstatků ze zdravotnického zařízení nebo urny z krematoria</w:t>
      </w:r>
    </w:p>
    <w:p>
      <w:pPr>
        <w:pStyle w:val="P28"/>
        <w:framePr w:w="3921" w:h="1055" w:hRule="exact" w:wrap="none" w:vAnchor="page" w:hAnchor="margin" w:x="6800" w:y="6179"/>
        <w:rPr>
          <w:rStyle w:val="C3"/>
          <w:rtl w:val="0"/>
        </w:rPr>
      </w:pPr>
    </w:p>
    <w:p>
      <w:pPr>
        <w:pStyle w:val="P29"/>
        <w:framePr w:w="3839" w:h="928" w:hRule="exact" w:wrap="none" w:vAnchor="page" w:hAnchor="margin" w:x="6856" w:y="6235"/>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Vytvořit návrh smlouvy o obstarání věci (určit strany smlouvy, předmět obstarání, jeho cenu, dobu, kdy má být obstarání uskutečněno a odměnu za obstarání) a vydat o jejím uzavření písemné potvrzení</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Charakterizovat používání zboží určeného k smutečním obřadům a k pohřbení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h) Vytvořit pravidla pro shromažďování a zpracování osobních údajů</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Vyjmenovat základní údaje v listu o prohlídce mrtvého a v úmrtním listě a uvést osoby, které mají právní nárok na jejich držení</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Obstarávání věcí vyplývajících z uzavřené smlouvy o obstarání pohřbu</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Vysvětlit způsoby obstarání věcí a služeb spojených s uzavřenou objednávkou pohřbení u třetích osob</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Sestavit smuteční oznámení podle požadavku objednavatele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Praktické předvedení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c) Vytvořit základní pravidla účinné vnitřní kontroly kvality a úplnosti činností a produktů v průběhu poskytování služby a před jejím vyúčtováním</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Popsat postup přípravy a kontroly zajištění objednaných služeb v místě konání pohřebního obřadu, postup odsouhlasení se zákazníkem a při řešení reklamací</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1.5.2026 14:18:21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rozhodující kritéria při výběru provozovatele pohřební služby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určitého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Napsat vlastní rukou dopis pozůstalému podle zadání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1055" w:hRule="exact" w:wrap="none" w:vAnchor="page" w:hAnchor="margin" w:x="45" w:y="5391"/>
        <w:rPr>
          <w:rStyle w:val="C3"/>
          <w:rtl w:val="0"/>
        </w:rPr>
      </w:pPr>
    </w:p>
    <w:p>
      <w:pPr>
        <w:pStyle w:val="P13"/>
        <w:framePr w:w="6658" w:h="928" w:hRule="exact" w:wrap="none" w:vAnchor="page" w:hAnchor="margin" w:x="71" w:y="5447"/>
        <w:rPr>
          <w:rStyle w:val="C11"/>
          <w:rtl w:val="0"/>
        </w:rPr>
      </w:pPr>
      <w:r>
        <w:rPr>
          <w:rStyle w:val="C11"/>
          <w:rtl w:val="0"/>
        </w:rPr>
        <w:t>e)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5391"/>
        <w:rPr>
          <w:rStyle w:val="C3"/>
          <w:rtl w:val="0"/>
        </w:rPr>
      </w:pPr>
    </w:p>
    <w:p>
      <w:pPr>
        <w:pStyle w:val="P29"/>
        <w:framePr w:w="3839" w:h="928" w:hRule="exact" w:wrap="none" w:vAnchor="page" w:hAnchor="margin" w:x="6856" w:y="5447"/>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Identifikovat rizika, která mohou představovat některé situace v obstaravatelském vztahu (např. sjednávat pohřeb pro své přátele nebo dělat si přátele ze svých klientů apod.)</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Aplikování základních zásad pohřbívání v poradenství pro pozůstalé</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Vysvětlit, ve kterých prostorách nelze sjednávat pohřbení a proč</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Vyjmenovat podmínky pro povolenou reklamu v pohřebnictví</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c) Popsat, co musí klient přinést s sebou do provozovny pohřební služby, aby mohl sjednat pohřbení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d) Poradit, jak uzavřít nájemní smlouvu k hrobovému místu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e) Vysvětlit účel parte, za jakých podmínek jej lze zveřejnit a formy kondolence</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f) Vyjmenovat možnosti čerpání pracovního volna s náhradou mzdy nebo platu na pohřební obřad</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Ústní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g) Vystavit doklad pro smuteční hosty o účasti na pohřbu</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h) Poradit při úmrtí mimo zdravotnické zařízení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i) Uvést případy, kdy nelze upustit od zdravotní pitvy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720"/>
        <w:rPr>
          <w:rStyle w:val="C3"/>
          <w:rtl w:val="0"/>
        </w:rPr>
      </w:pPr>
    </w:p>
    <w:p>
      <w:pPr>
        <w:pStyle w:val="P17"/>
        <w:framePr w:w="6658" w:h="480" w:hRule="exact" w:wrap="none" w:vAnchor="page" w:hAnchor="margin" w:x="71" w:y="12776"/>
        <w:rPr>
          <w:rStyle w:val="C13"/>
          <w:rtl w:val="0"/>
        </w:rPr>
      </w:pPr>
      <w:r>
        <w:rPr>
          <w:rStyle w:val="C13"/>
          <w:rtl w:val="0"/>
        </w:rPr>
        <w:t>j) Poradit postup při úmrtí v zahraničí (i mimo členské státy EU) a při úmrtí cizince nebo člověka bez totožnosti v ČR</w:t>
      </w:r>
    </w:p>
    <w:p>
      <w:pPr>
        <w:pStyle w:val="P30"/>
        <w:framePr w:w="3921" w:h="607" w:hRule="exact" w:wrap="none" w:vAnchor="page" w:hAnchor="margin" w:x="6800" w:y="12720"/>
        <w:rPr>
          <w:rStyle w:val="C3"/>
          <w:rtl w:val="0"/>
        </w:rPr>
      </w:pPr>
    </w:p>
    <w:p>
      <w:pPr>
        <w:pStyle w:val="P31"/>
        <w:framePr w:w="3839" w:h="480" w:hRule="exact" w:wrap="none" w:vAnchor="page" w:hAnchor="margin" w:x="6856" w:y="12776"/>
        <w:rPr>
          <w:rStyle w:val="C22"/>
          <w:rtl w:val="0"/>
        </w:rPr>
      </w:pPr>
      <w:r>
        <w:rPr>
          <w:rStyle w:val="C22"/>
          <w:rtl w:val="0"/>
        </w:rPr>
        <w:t>Ústní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k) Nabídnout více forem financování pohřbu (pohřebné, pojištění, pohřeb na splátky, odúmrť, darování těla pro vědu, výzkum a výuku)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l) Vysvětlit, jak řešit situaci, nechce-li nikdo vypravit pohřeb</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m) Uvést, kdo odpovídá za přiměřené náklady spojené s pohřbem (i v případě odúmrti)</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Ústní ověření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n) Popsat způsoby pohřbů a pohřbívání u lidí z jiných kultur (spjatých s územím ČR)</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1.5.2026 14:18:21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Vysvětlit základní postupy  účetnictví v odběratelsko- dodavatelských vztazích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1.5.2026 14:18:21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znalosti a dovednosti uchazeče, ale i na jeho osobnostní předpoklady, především na jeho autentičnost, empatii, aktivní naslouchání, důvěru a vědomost respektovat sníženou schopnost pozůstalých vnímat detaily v nabízených službách. V žádném případě nesmí uchazeč zneužít jejich mimořádné situace ke svému neoprávněnému či nepřiměřenému finančnímu ani jinému prospěchu.</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80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461"/>
        <w:rPr>
          <w:rStyle w:val="C3"/>
          <w:rtl w:val="0"/>
        </w:rPr>
      </w:pPr>
    </w:p>
    <w:p>
      <w:pPr>
        <w:pStyle w:val="P35"/>
        <w:framePr w:w="10710" w:h="547" w:hRule="exact" w:wrap="none" w:vAnchor="page" w:hAnchor="margin" w:x="28" w:y="846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humanitního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sjednavatel pohřbení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Sjednavatel pohřbení, 1.5.2026 14:18:21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připojení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Pokladní doklad</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1.5.2026 14:18:21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Sjednavatel pohřbení, 1.5.2026 14:18:21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