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29B66" Type="http://schemas.openxmlformats.org/officeDocument/2006/relationships/officeDocument" Target="/word/document.xml" /><Relationship Id="coreR13429B66" Type="http://schemas.openxmlformats.org/package/2006/relationships/metadata/core-properties" Target="/docProps/core.xml" /><Relationship Id="customR13429B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Písemné a 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Vytváření zásad kariérového růstu zaměstnanců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Charakterizovat systém řízení talentů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e) Uvést hlavní charakteristiky vůdcovství (leadership)</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orientaci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formy vzdělávacích akcí, uvést jejich klady a zápory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možnosti spolupráce s dalšími vzdělávacími subjekty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způsob výchovy a vzdělávání interních lektorů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Sestavení vzdělávacího plánu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profese vyžadující pravidelné přezkušování nebo školení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Sestavit a vyhodnotit plán vzdělávání zaměstnanců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Sestavit a vyhodnotit finanční plán vzdělávání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Objasnit úlohu zpětné vazby ve vztahu k výkonu, potenciálu a rozvoji potřeb</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Vyhodnocení efektivity vzdělávání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Charakterizovat formy a možnosti sběru výsledků vzdělávacích akcí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Uvést možné modely hodnocení, jejich výhody a nevýhody</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Sestavení vzdělávacího plánu a Vyhodnocení efektivity vzdělávání.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a vzdělávání.</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PC event. notebookem s operačním systémem, textovým editorem, tabulkovým procesorem, programem pro tvorbu prezentací a připojením k internetu, aktuálními verzemi relevantních zákonů (zákoník práce v aktuálním znění zákona č. 262/2006 Sb. – pokud možno s komentářem, občanský zákoník, obchodní zákoník).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vzdělávání a rozvoje zaměstnanců, 3.8.2026 12:54:51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