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526406" Type="http://schemas.openxmlformats.org/officeDocument/2006/relationships/officeDocument" Target="/word/document.xml" /><Relationship Id="coreR45526406" Type="http://schemas.openxmlformats.org/package/2006/relationships/metadata/core-properties" Target="/docProps/core.xml" /><Relationship Id="customR455264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Písemné a 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Vytváření zásad kariérového růstu zaměstnanců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Charakterizovat systém řízení talentů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e) Uvést hlavní charakteristiky vůdcovství (leadership)</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formy vzdělávacích akcí, uvést jejich klady a zápory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možnosti spolupráce s dalšími vzdělávacími subjekty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způsob výchovy a vzdělávání interních lektorů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Sestavení vzdělávacího plánu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profese vyžadující pravidelné přezkušování nebo školení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Sestavit a vyhodnotit plán vzdělávání zaměstnanců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Sestavit a vyhodnotit finanční plán vzdělávání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Objasnit úlohu zpětné vazby ve vztahu k výkonu, potenciálu a rozvoji potřeb</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Vyhodnocení efektivity vzdělávání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Charakterizovat formy a možnosti sběru výsledků vzdělávacích akcí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Uvést možné modely hodnocení, jejich výhody a nevýhody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Sestavení vzdělávacího plánu a Vyhodnocení efektivity vzdělávání.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a vzdělávání.</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PC event. notebookem s operačním systémem, textovým editorem, tabulkovým procesorem, programem pro tvorbu prezentací a připojením k internetu, aktuálními verzemi relevantních zákonů (zákoník práce v aktuálním znění zákona č. 262/2006 Sb. – pokud možno s komentářem, občanský zákoník, obchodní zákoník).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vzdělávání a rozvoje zaměstnanců, 4.11.2026 0:43:49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