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9A865" Type="http://schemas.openxmlformats.org/officeDocument/2006/relationships/officeDocument" Target="/word/document.xml" /><Relationship Id="coreR5F49A865" Type="http://schemas.openxmlformats.org/package/2006/relationships/metadata/core-properties" Target="/docProps/core.xml" /><Relationship Id="customR5F49A8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personálních potřeb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informací z trhu práce pro nábor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přijímání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adaptačního procesu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Uvolňování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náboru, přijímání a uvolňování zaměstnanců, 29.10.2026 0:02:26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písemnou, ústní i praktickou část. Písemné a praktické ověřování se děje formou případové studie, pro písemnou zkoušku lze využít i formu testu. Ústní ověřování se děje zejména formou prezentace výsledků případové studie a je též možné zařadit i další okruhy otázek.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dílčí kvalifikace.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těchto kompetencí: Identifikování personálních potřeb firmy; Využívání informací z trhu práce pro nábor zaměstnanců; Výběr a přijímání zaměstnanců; Řízení adaptačního procesu.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náboru, přijímání a uvolňování zaměstnanců, 29.10.2026 0:02:26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náboru, přijímání a uvolňování zaměstnanců, 29.10.2026 0:02:26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