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8294" Type="http://schemas.openxmlformats.org/officeDocument/2006/relationships/officeDocument" Target="/word/document.xml" /><Relationship Id="coreR3B18294" Type="http://schemas.openxmlformats.org/package/2006/relationships/metadata/core-properties" Target="/docProps/core.xml" /><Relationship Id="customR3B18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náboru pracovních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 z pracovního poměru dle Zákoníku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24.11.2023</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platnými právními předpisy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Orientovat se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b) Popsat Národní soustavu kvalifikací (NSK) a její uplatnění v personální praxi</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Vysvětlit Národní soustavu povolání (NSP) a rozdíl mezi NSP a NSK</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Charakterizovat činnosti při využívání vnitřních a vnějších lidských zdrojů</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Charakterizovat jednotlivé možnosti získávání nových pracovníků, které nabízí trh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Ústní ověření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Uvést možnosti práce s personálními servery, úřady práce a dalšími subjekty na trhu práce</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Připravit vhodný inzerát pro nábor zaměstnanců</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 a ústní ověření</w:t>
      </w:r>
    </w:p>
    <w:p>
      <w:pPr>
        <w:pStyle w:val="P16"/>
        <w:framePr w:w="6710" w:h="376" w:hRule="exact" w:wrap="none" w:vAnchor="page" w:hAnchor="margin" w:x="45" w:y="10784"/>
        <w:rPr>
          <w:rStyle w:val="C3"/>
          <w:rtl w:val="0"/>
        </w:rPr>
      </w:pPr>
    </w:p>
    <w:p>
      <w:pPr>
        <w:pStyle w:val="P17"/>
        <w:framePr w:w="6658" w:h="249" w:hRule="exact" w:wrap="none" w:vAnchor="page" w:hAnchor="margin" w:x="71" w:y="10840"/>
        <w:rPr>
          <w:rStyle w:val="C13"/>
          <w:rtl w:val="0"/>
        </w:rPr>
      </w:pPr>
      <w:r>
        <w:rPr>
          <w:rStyle w:val="C13"/>
          <w:rtl w:val="0"/>
        </w:rPr>
        <w:t>h) Ověřit vhodnost kandidáta pro zvažovanou pracovní pozici</w:t>
      </w:r>
    </w:p>
    <w:p>
      <w:pPr>
        <w:pStyle w:val="P30"/>
        <w:framePr w:w="3921" w:h="376" w:hRule="exact" w:wrap="none" w:vAnchor="page" w:hAnchor="margin" w:x="6800" w:y="10784"/>
        <w:rPr>
          <w:rStyle w:val="C3"/>
          <w:rtl w:val="0"/>
        </w:rPr>
      </w:pPr>
    </w:p>
    <w:p>
      <w:pPr>
        <w:pStyle w:val="P31"/>
        <w:framePr w:w="3839" w:h="249" w:hRule="exact" w:wrap="none" w:vAnchor="page" w:hAnchor="margin" w:x="6856" w:y="10840"/>
        <w:rPr>
          <w:rStyle w:val="C22"/>
          <w:rtl w:val="0"/>
        </w:rPr>
      </w:pPr>
      <w:r>
        <w:rPr>
          <w:rStyle w:val="C22"/>
          <w:rtl w:val="0"/>
        </w:rPr>
        <w:t>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Výběr a přijímání zaměstnanců</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a) Provést předvýběr kandidátů</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b) Předvést vstupní pohovor s kandidátem</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c) Vysvětlit postupy ověřování vhodnosti kandidáta pro uvažovanou funkci</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Ústní ověření</w:t>
      </w:r>
    </w:p>
    <w:p>
      <w:pPr>
        <w:pStyle w:val="P16"/>
        <w:framePr w:w="6710" w:h="376" w:hRule="exact" w:wrap="none" w:vAnchor="page" w:hAnchor="margin" w:x="45" w:y="13653"/>
        <w:rPr>
          <w:rStyle w:val="C3"/>
          <w:rtl w:val="0"/>
        </w:rPr>
      </w:pPr>
    </w:p>
    <w:p>
      <w:pPr>
        <w:pStyle w:val="P17"/>
        <w:framePr w:w="6658" w:h="249" w:hRule="exact" w:wrap="none" w:vAnchor="page" w:hAnchor="margin" w:x="71" w:y="13709"/>
        <w:rPr>
          <w:rStyle w:val="C13"/>
          <w:rtl w:val="0"/>
        </w:rPr>
      </w:pPr>
      <w:r>
        <w:rPr>
          <w:rStyle w:val="C13"/>
          <w:rtl w:val="0"/>
        </w:rPr>
        <w:t>d) Charakterizovat zásady pro výběr pracovníka</w:t>
      </w:r>
    </w:p>
    <w:p>
      <w:pPr>
        <w:pStyle w:val="P30"/>
        <w:framePr w:w="3921" w:h="376" w:hRule="exact" w:wrap="none" w:vAnchor="page" w:hAnchor="margin" w:x="6800" w:y="13653"/>
        <w:rPr>
          <w:rStyle w:val="C3"/>
          <w:rtl w:val="0"/>
        </w:rPr>
      </w:pPr>
    </w:p>
    <w:p>
      <w:pPr>
        <w:pStyle w:val="P31"/>
        <w:framePr w:w="3839" w:h="249" w:hRule="exact" w:wrap="none" w:vAnchor="page" w:hAnchor="margin" w:x="6856" w:y="1370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e) Zpracovat pracovní smlouvu a platový výměr</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831" w:hRule="exact" w:wrap="none" w:vAnchor="page" w:hAnchor="margin" w:x="45" w:y="14406"/>
        <w:rPr>
          <w:rStyle w:val="C3"/>
          <w:rtl w:val="0"/>
        </w:rPr>
      </w:pPr>
    </w:p>
    <w:p>
      <w:pPr>
        <w:pStyle w:val="P17"/>
        <w:framePr w:w="6658" w:h="704" w:hRule="exact" w:wrap="none" w:vAnchor="page" w:hAnchor="margin" w:x="71" w:y="14462"/>
        <w:rPr>
          <w:rStyle w:val="C13"/>
          <w:rtl w:val="0"/>
        </w:rPr>
      </w:pPr>
      <w:r>
        <w:rPr>
          <w:rStyle w:val="C13"/>
          <w:rtl w:val="0"/>
        </w:rPr>
        <w:t>f) Vysvětlit postup při seznámení nového zaměstnance s firmou, identifikování se s firmou a motivace k odpovědnému přístupu k pracovnímu výkonu</w:t>
      </w:r>
    </w:p>
    <w:p>
      <w:pPr>
        <w:pStyle w:val="P30"/>
        <w:framePr w:w="3921" w:h="831" w:hRule="exact" w:wrap="none" w:vAnchor="page" w:hAnchor="margin" w:x="6800" w:y="14406"/>
        <w:rPr>
          <w:rStyle w:val="C3"/>
          <w:rtl w:val="0"/>
        </w:rPr>
      </w:pPr>
    </w:p>
    <w:p>
      <w:pPr>
        <w:pStyle w:val="P31"/>
        <w:framePr w:w="3839" w:h="704" w:hRule="exact" w:wrap="none" w:vAnchor="page" w:hAnchor="margin" w:x="6856" w:y="14462"/>
        <w:rPr>
          <w:rStyle w:val="C22"/>
          <w:rtl w:val="0"/>
        </w:rPr>
      </w:pPr>
      <w:r>
        <w:rPr>
          <w:rStyle w:val="C22"/>
          <w:rtl w:val="0"/>
        </w:rPr>
        <w:t>Ústní ověření</w:t>
      </w:r>
    </w:p>
    <w:p>
      <w:pPr>
        <w:pStyle w:val="P32"/>
        <w:framePr w:w="10710" w:h="248" w:hRule="exact" w:wrap="none" w:vAnchor="page" w:hAnchor="margin" w:x="28" w:y="15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charakterizovat adaptační proces</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 z pracovního poměru dle Zákoníku práce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zákonem dané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ústní a praktickou část. Praktické ověřování se děje formou případové studie.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soubor minimálně 10 případových studií, které je nutno použít pro ověření těchto kompetencí: Identifikování personálních potřeb firmy; Využívání informací z trhu práce pro nábor zaměstnanců; Výběr a přijímání zaměstnanců; Řízení adaptačního procesu.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Uvolňování zaměstnanců, kritérium b) uchazeč předvede ve spolupráci s figurantem výstupní pohovor. Figurantem může být i člen zkušební komise.</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nábor, přijímání a uvolňování zaměstnanců, nebo učitele VOŠ v oblasti personalistiky.</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humanitní ekonomické nebo a alespoň 5 let odborné praxe v oblasti personalistiky se specializací na nábor, přijímání a uvolňování zaměstnanců, nebo učitele VOŠ v oblasti personalistiky.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platné znění zákoníku práce, zákona o obchodních korporacích a občanského zákoníku, soubor případových studií, figurant.</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83"/>
        <w:rPr>
          <w:rStyle w:val="C3"/>
          <w:rtl w:val="0"/>
        </w:rPr>
      </w:pPr>
    </w:p>
    <w:p>
      <w:pPr>
        <w:pStyle w:val="P35"/>
        <w:framePr w:w="10710" w:h="340" w:hRule="exact" w:wrap="none" w:vAnchor="page" w:hAnchor="margin" w:x="28" w:y="12783"/>
        <w:rPr>
          <w:rStyle w:val="C25"/>
          <w:rtl w:val="0"/>
        </w:rPr>
      </w:pPr>
      <w:r>
        <w:rPr>
          <w:rStyle w:val="C25"/>
          <w:rtl w:val="0"/>
        </w:rPr>
        <w:t>Doba přípravy na zkoušku</w:t>
      </w:r>
    </w:p>
    <w:p>
      <w:pPr>
        <w:keepNext w:val="0"/>
        <w:keepLines w:val="0"/>
        <w:framePr w:w="10766" w:h="806" w:hRule="exact" w:wrap="none" w:vAnchor="page" w:hAnchor="margin" w:x="0" w:y="13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náboru, přijímání a uvolňování zaměstnanců, 29.5.2026 20:26:24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F12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BAB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