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DE1D" Type="http://schemas.openxmlformats.org/officeDocument/2006/relationships/officeDocument" Target="/word/document.xml" /><Relationship Id="coreR253DE1D" Type="http://schemas.openxmlformats.org/package/2006/relationships/metadata/core-properties" Target="/docProps/core.xml" /><Relationship Id="customR253D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31.10.2026 11:09:21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uchazeče musí vycházet z dostatečně rozsáhlého souboru otázek, aby bylo umožněno připravit několik desítek různě sestavených testů.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je nezbytné ověřit všechny kompetence kvalifikačního standardu. To znamená, že v případě, kdy se některé kompetence či kritéria ověřují pomocí testů, musí být splněny následující podmínky: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 se generují jednotlivé testy: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kritérium, u něhož je test způsobem ověření a návaznosti na pokyn o tom, která kritéria je třeba u zkoušky splnit, alespoň jednu otázku.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je považováno 75 % správně zodpovězených otázek s tím, že pro každé kritérium musí být zodpovězeno alespoň 50 %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uvedených kompetencí: Využívání hodnoticích systémů; Orientace v problematice hodnocení zaměstnanců; Vytváření mzdového systému;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To znamená, že v případě, kdy se některé kompetence nebo kritéria ověřují pomocí losovaných otázek, musí být splněnÿ následující dvě podmínky: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31.10.2026 11:09:21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31.10.2026 11:09:21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