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DE62EC" Type="http://schemas.openxmlformats.org/officeDocument/2006/relationships/officeDocument" Target="/word/document.xml" /><Relationship Id="coreR1FDE62EC" Type="http://schemas.openxmlformats.org/package/2006/relationships/metadata/core-properties" Target="/docProps/core.xml" /><Relationship Id="customR1FDE62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hodnocení a odměňování zaměstnanců (kód: 62-012-R)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Využívání hodnotících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problematice hodnocení zaměstnanců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systému odměňování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a udržování systémů zaměstnaneckých výhod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poznatků pro hodnocení a odměňování zaměstnanců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29.06.2012 do: 19.08.2020</w:t>
      </w:r>
    </w:p>
    <w:p>
      <w:pPr>
        <w:pStyle w:val="P21"/>
        <w:framePr w:w="7654" w:h="331" w:hRule="exact" w:wrap="none" w:vAnchor="page" w:hAnchor="margin" w:x="28" w:y="15940"/>
        <w:rPr>
          <w:rStyle w:val="C16"/>
          <w:rtl w:val="0"/>
        </w:rPr>
      </w:pPr>
      <w:r>
        <w:rPr>
          <w:rStyle w:val="C16"/>
          <w:rtl w:val="0"/>
        </w:rPr>
        <w:t>Specialista hodnocení a odměňování zaměstnanců, 15.9.2026 16:31:34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Využívání hodnotících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smysl a cíl hodnocení zaměstnanců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systém hodnocení a jeho vazby na odměňování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užívané metody hodnocení a proces tvorby hodnoticích standardů a kritérií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a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metody měření pracovního výkonu a přínosu konané práce podle zadaných kritérií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postup zjišťování a vyhodnocování pracovní spokojenosti zaměstnanců</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a 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Vysvětlit úlohu motivace zaměstnanců</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Písemné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Uvést možnosti rozvíjení schopností a výkonu zaměstnanců</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Písemné a 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Orientace v problematice hodnocení zaměstnanců</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a) Uvést vnitřní a vnější faktory ovlivňující přístup organizace k hodnocení zaměstnanců</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a 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b) Vysvětlit rozdíl mezi řízením pracovního výkonu a hodnocením zaměstnance</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Písemné a 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c) Popsat stanovování úrovně odměny za práci v závislosti na typu a struktuře mzdy/platu</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Písemné a ústní ověření</w:t>
      </w:r>
    </w:p>
    <w:p>
      <w:pPr>
        <w:pStyle w:val="P16"/>
        <w:framePr w:w="6710" w:h="376" w:hRule="exact" w:wrap="none" w:vAnchor="page" w:hAnchor="margin" w:x="45" w:y="10038"/>
        <w:rPr>
          <w:rStyle w:val="C3"/>
          <w:rtl w:val="0"/>
        </w:rPr>
      </w:pPr>
    </w:p>
    <w:p>
      <w:pPr>
        <w:pStyle w:val="P17"/>
        <w:framePr w:w="6658" w:h="249" w:hRule="exact" w:wrap="none" w:vAnchor="page" w:hAnchor="margin" w:x="71" w:y="10094"/>
        <w:rPr>
          <w:rStyle w:val="C13"/>
          <w:rtl w:val="0"/>
        </w:rPr>
      </w:pPr>
      <w:r>
        <w:rPr>
          <w:rStyle w:val="C13"/>
          <w:rtl w:val="0"/>
        </w:rPr>
        <w:t>d) Charakterizovat hodnoticí pohovor (školení hodnotitele, chyby atd.)</w:t>
      </w:r>
    </w:p>
    <w:p>
      <w:pPr>
        <w:pStyle w:val="P30"/>
        <w:framePr w:w="3921" w:h="376" w:hRule="exact" w:wrap="none" w:vAnchor="page" w:hAnchor="margin" w:x="6800" w:y="10038"/>
        <w:rPr>
          <w:rStyle w:val="C3"/>
          <w:rtl w:val="0"/>
        </w:rPr>
      </w:pPr>
    </w:p>
    <w:p>
      <w:pPr>
        <w:pStyle w:val="P31"/>
        <w:framePr w:w="3839" w:h="249" w:hRule="exact" w:wrap="none" w:vAnchor="page" w:hAnchor="margin" w:x="6856" w:y="10094"/>
        <w:rPr>
          <w:rStyle w:val="C22"/>
          <w:rtl w:val="0"/>
        </w:rPr>
      </w:pPr>
      <w:r>
        <w:rPr>
          <w:rStyle w:val="C22"/>
          <w:rtl w:val="0"/>
        </w:rPr>
        <w:t>Písemné a ústní ověření</w:t>
      </w:r>
    </w:p>
    <w:p>
      <w:pPr>
        <w:pStyle w:val="P12"/>
        <w:framePr w:w="6710" w:h="607" w:hRule="exact" w:wrap="none" w:vAnchor="page" w:hAnchor="margin" w:x="45" w:y="10414"/>
        <w:rPr>
          <w:rStyle w:val="C3"/>
          <w:rtl w:val="0"/>
        </w:rPr>
      </w:pPr>
    </w:p>
    <w:p>
      <w:pPr>
        <w:pStyle w:val="P13"/>
        <w:framePr w:w="6658" w:h="480" w:hRule="exact" w:wrap="none" w:vAnchor="page" w:hAnchor="margin" w:x="71" w:y="10470"/>
        <w:rPr>
          <w:rStyle w:val="C11"/>
          <w:rtl w:val="0"/>
        </w:rPr>
      </w:pPr>
      <w:r>
        <w:rPr>
          <w:rStyle w:val="C11"/>
          <w:rtl w:val="0"/>
        </w:rPr>
        <w:t>e) Vysvětlit diference v přístupu k zaměstnancům a charakterizovat význam klíčových zaměstnanců</w:t>
      </w:r>
    </w:p>
    <w:p>
      <w:pPr>
        <w:pStyle w:val="P28"/>
        <w:framePr w:w="3921" w:h="607" w:hRule="exact" w:wrap="none" w:vAnchor="page" w:hAnchor="margin" w:x="6800" w:y="10414"/>
        <w:rPr>
          <w:rStyle w:val="C3"/>
          <w:rtl w:val="0"/>
        </w:rPr>
      </w:pPr>
    </w:p>
    <w:p>
      <w:pPr>
        <w:pStyle w:val="P29"/>
        <w:framePr w:w="3839" w:h="480" w:hRule="exact" w:wrap="none" w:vAnchor="page" w:hAnchor="margin" w:x="6856" w:y="10470"/>
        <w:rPr>
          <w:rStyle w:val="C21"/>
          <w:rtl w:val="0"/>
        </w:rPr>
      </w:pPr>
      <w:r>
        <w:rPr>
          <w:rStyle w:val="C21"/>
          <w:rtl w:val="0"/>
        </w:rPr>
        <w:t>Písemné a ústní ověření</w:t>
      </w:r>
    </w:p>
    <w:p>
      <w:pPr>
        <w:pStyle w:val="P16"/>
        <w:framePr w:w="6710" w:h="607" w:hRule="exact" w:wrap="none" w:vAnchor="page" w:hAnchor="margin" w:x="45" w:y="11021"/>
        <w:rPr>
          <w:rStyle w:val="C3"/>
          <w:rtl w:val="0"/>
        </w:rPr>
      </w:pPr>
    </w:p>
    <w:p>
      <w:pPr>
        <w:pStyle w:val="P17"/>
        <w:framePr w:w="6658" w:h="480" w:hRule="exact" w:wrap="none" w:vAnchor="page" w:hAnchor="margin" w:x="71" w:y="11077"/>
        <w:rPr>
          <w:rStyle w:val="C13"/>
          <w:rtl w:val="0"/>
        </w:rPr>
      </w:pPr>
      <w:r>
        <w:rPr>
          <w:rStyle w:val="C13"/>
          <w:rtl w:val="0"/>
        </w:rPr>
        <w:t>f) Analyzovat výsledky měření individuálního a týmového výkonu a vyjmenovat činitele mající vliv na odměňování</w:t>
      </w:r>
    </w:p>
    <w:p>
      <w:pPr>
        <w:pStyle w:val="P30"/>
        <w:framePr w:w="3921" w:h="607" w:hRule="exact" w:wrap="none" w:vAnchor="page" w:hAnchor="margin" w:x="6800" w:y="11021"/>
        <w:rPr>
          <w:rStyle w:val="C3"/>
          <w:rtl w:val="0"/>
        </w:rPr>
      </w:pPr>
    </w:p>
    <w:p>
      <w:pPr>
        <w:pStyle w:val="P31"/>
        <w:framePr w:w="3839" w:h="480" w:hRule="exact" w:wrap="none" w:vAnchor="page" w:hAnchor="margin" w:x="6856" w:y="11077"/>
        <w:rPr>
          <w:rStyle w:val="C22"/>
          <w:rtl w:val="0"/>
        </w:rPr>
      </w:pPr>
      <w:r>
        <w:rPr>
          <w:rStyle w:val="C22"/>
          <w:rtl w:val="0"/>
        </w:rPr>
        <w:t>Praktické předvedení a ústní ověření</w:t>
      </w:r>
    </w:p>
    <w:p>
      <w:pPr>
        <w:pStyle w:val="P12"/>
        <w:framePr w:w="6710" w:h="376" w:hRule="exact" w:wrap="none" w:vAnchor="page" w:hAnchor="margin" w:x="45" w:y="11628"/>
        <w:rPr>
          <w:rStyle w:val="C3"/>
          <w:rtl w:val="0"/>
        </w:rPr>
      </w:pPr>
    </w:p>
    <w:p>
      <w:pPr>
        <w:pStyle w:val="P13"/>
        <w:framePr w:w="6658" w:h="249" w:hRule="exact" w:wrap="none" w:vAnchor="page" w:hAnchor="margin" w:x="71" w:y="11684"/>
        <w:rPr>
          <w:rStyle w:val="C11"/>
          <w:rtl w:val="0"/>
        </w:rPr>
      </w:pPr>
      <w:r>
        <w:rPr>
          <w:rStyle w:val="C11"/>
          <w:rtl w:val="0"/>
        </w:rPr>
        <w:t>g) Prezentovat komunikaci pro sdělení výsledku hodnocení</w:t>
      </w:r>
    </w:p>
    <w:p>
      <w:pPr>
        <w:pStyle w:val="P28"/>
        <w:framePr w:w="3921" w:h="376" w:hRule="exact" w:wrap="none" w:vAnchor="page" w:hAnchor="margin" w:x="6800" w:y="11628"/>
        <w:rPr>
          <w:rStyle w:val="C3"/>
          <w:rtl w:val="0"/>
        </w:rPr>
      </w:pPr>
    </w:p>
    <w:p>
      <w:pPr>
        <w:pStyle w:val="P29"/>
        <w:framePr w:w="3839" w:h="249" w:hRule="exact" w:wrap="none" w:vAnchor="page" w:hAnchor="margin" w:x="6856" w:y="11684"/>
        <w:rPr>
          <w:rStyle w:val="C21"/>
          <w:rtl w:val="0"/>
        </w:rPr>
      </w:pPr>
      <w:r>
        <w:rPr>
          <w:rStyle w:val="C21"/>
          <w:rtl w:val="0"/>
        </w:rPr>
        <w:t>Praktické předvedení a ústní ověření</w:t>
      </w:r>
    </w:p>
    <w:p>
      <w:pPr>
        <w:pStyle w:val="P16"/>
        <w:framePr w:w="6710" w:h="376" w:hRule="exact" w:wrap="none" w:vAnchor="page" w:hAnchor="margin" w:x="45" w:y="12004"/>
        <w:rPr>
          <w:rStyle w:val="C3"/>
          <w:rtl w:val="0"/>
        </w:rPr>
      </w:pPr>
    </w:p>
    <w:p>
      <w:pPr>
        <w:pStyle w:val="P17"/>
        <w:framePr w:w="6658" w:h="249" w:hRule="exact" w:wrap="none" w:vAnchor="page" w:hAnchor="margin" w:x="71" w:y="12060"/>
        <w:rPr>
          <w:rStyle w:val="C13"/>
          <w:rtl w:val="0"/>
        </w:rPr>
      </w:pPr>
      <w:r>
        <w:rPr>
          <w:rStyle w:val="C13"/>
          <w:rtl w:val="0"/>
        </w:rPr>
        <w:t>h) Popsat následná opatření po provedeném hodnocení</w:t>
      </w:r>
    </w:p>
    <w:p>
      <w:pPr>
        <w:pStyle w:val="P30"/>
        <w:framePr w:w="3921" w:h="376" w:hRule="exact" w:wrap="none" w:vAnchor="page" w:hAnchor="margin" w:x="6800" w:y="12004"/>
        <w:rPr>
          <w:rStyle w:val="C3"/>
          <w:rtl w:val="0"/>
        </w:rPr>
      </w:pPr>
    </w:p>
    <w:p>
      <w:pPr>
        <w:pStyle w:val="P31"/>
        <w:framePr w:w="3839" w:h="249" w:hRule="exact" w:wrap="none" w:vAnchor="page" w:hAnchor="margin" w:x="6856" w:y="12060"/>
        <w:rPr>
          <w:rStyle w:val="C22"/>
          <w:rtl w:val="0"/>
        </w:rPr>
      </w:pPr>
      <w:r>
        <w:rPr>
          <w:rStyle w:val="C22"/>
          <w:rtl w:val="0"/>
        </w:rPr>
        <w:t>Písemné a ústní ověření</w:t>
      </w:r>
    </w:p>
    <w:p>
      <w:pPr>
        <w:pStyle w:val="P32"/>
        <w:framePr w:w="10710" w:h="248" w:hRule="exact" w:wrap="none" w:vAnchor="page" w:hAnchor="margin" w:x="28" w:y="124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hodnocení a odměňování zaměstnanců, 15.9.2026 16:31:34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systému odměňování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 mezi mzdou a platem, pojem zaručená mzda, určení platu, způsob stanovení mzdy/platu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druhy příplatků ke mzdě (příplatky dané legislativou, jdoucí nad její rámec)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funkci pohyblivých složek, prémií a dalších odměn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vzájemný vztah jednotlivých složek mzdy/platu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vliv změn v odměňování na organizaci a její zaměstnance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Prokázat znalost legislativy související s odměňováním zaměstnanců</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Vytváření a udržování systémů zaměstnaneckých výhod</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Vysvětlit pojem „zaměstnanecké výhody“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Vyjmenovat typy benefitů, popsat vymezení cílových skupin</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Písemné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Vysvětlit smysl a funkce benefitů, jejich výhody a nevýhody pro zaměstnance i zaměstnavatele</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Písemné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Charakterizovat poukázkový systém jako součást benefitního systému</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Písemné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e) Vysvětlit rozdíl mezi pevným a volitelným systémem zaměstnaneckých výhod</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Písemné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f) Aplikovat znalosti pravidel administrace benefitního systému a související legislativy</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Využívání moderních poznatků pro hodnocení a odměňování zaměstnanců</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Vysvětlit funkci benchmarku, popsat jeho zdroje, realizaci a využití získaných dat</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Písemné a 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Vysvětlit funkci HR controllingu</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Písemné a ústní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c) Uvést vnější faktory působící na tvorbu odměňování podle oboru činnosti, skladby míst, kvality dostupných lidských zdrojů atd.</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a 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Charakterizovat trh práce – zdroje a možnosti sledování, výstupy</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Písemné a ústní ověření</w:t>
      </w:r>
    </w:p>
    <w:p>
      <w:pPr>
        <w:pStyle w:val="P12"/>
        <w:framePr w:w="6710" w:h="607" w:hRule="exact" w:wrap="none" w:vAnchor="page" w:hAnchor="margin" w:x="45" w:y="13333"/>
        <w:rPr>
          <w:rStyle w:val="C3"/>
          <w:rtl w:val="0"/>
        </w:rPr>
      </w:pPr>
    </w:p>
    <w:p>
      <w:pPr>
        <w:pStyle w:val="P13"/>
        <w:framePr w:w="6658" w:h="480" w:hRule="exact" w:wrap="none" w:vAnchor="page" w:hAnchor="margin" w:x="71" w:y="13389"/>
        <w:rPr>
          <w:rStyle w:val="C11"/>
          <w:rtl w:val="0"/>
        </w:rPr>
      </w:pPr>
      <w:r>
        <w:rPr>
          <w:rStyle w:val="C11"/>
          <w:rtl w:val="0"/>
        </w:rPr>
        <w:t>e) Vysvětlit pojem objektivní hodnoty jednotlivých pracovních míst, vyjmenovat základní kritéria pro její měření</w:t>
      </w:r>
    </w:p>
    <w:p>
      <w:pPr>
        <w:pStyle w:val="P28"/>
        <w:framePr w:w="3921" w:h="607" w:hRule="exact" w:wrap="none" w:vAnchor="page" w:hAnchor="margin" w:x="6800" w:y="13333"/>
        <w:rPr>
          <w:rStyle w:val="C3"/>
          <w:rtl w:val="0"/>
        </w:rPr>
      </w:pPr>
    </w:p>
    <w:p>
      <w:pPr>
        <w:pStyle w:val="P29"/>
        <w:framePr w:w="3839" w:h="480" w:hRule="exact" w:wrap="none" w:vAnchor="page" w:hAnchor="margin" w:x="6856" w:y="13389"/>
        <w:rPr>
          <w:rStyle w:val="C21"/>
          <w:rtl w:val="0"/>
        </w:rPr>
      </w:pPr>
      <w:r>
        <w:rPr>
          <w:rStyle w:val="C21"/>
          <w:rtl w:val="0"/>
        </w:rPr>
        <w:t>Písemné a ústní ověření</w:t>
      </w:r>
    </w:p>
    <w:p>
      <w:pPr>
        <w:pStyle w:val="P16"/>
        <w:framePr w:w="6710" w:h="376" w:hRule="exact" w:wrap="none" w:vAnchor="page" w:hAnchor="margin" w:x="45" w:y="13940"/>
        <w:rPr>
          <w:rStyle w:val="C3"/>
          <w:rtl w:val="0"/>
        </w:rPr>
      </w:pPr>
    </w:p>
    <w:p>
      <w:pPr>
        <w:pStyle w:val="P17"/>
        <w:framePr w:w="6658" w:h="249" w:hRule="exact" w:wrap="none" w:vAnchor="page" w:hAnchor="margin" w:x="71" w:y="13996"/>
        <w:rPr>
          <w:rStyle w:val="C13"/>
          <w:rtl w:val="0"/>
        </w:rPr>
      </w:pPr>
      <w:r>
        <w:rPr>
          <w:rStyle w:val="C13"/>
          <w:rtl w:val="0"/>
        </w:rPr>
        <w:t>f) Identifikovat zdroje informací a práce s nimi</w:t>
      </w:r>
    </w:p>
    <w:p>
      <w:pPr>
        <w:pStyle w:val="P30"/>
        <w:framePr w:w="3921" w:h="376" w:hRule="exact" w:wrap="none" w:vAnchor="page" w:hAnchor="margin" w:x="6800" w:y="13940"/>
        <w:rPr>
          <w:rStyle w:val="C3"/>
          <w:rtl w:val="0"/>
        </w:rPr>
      </w:pPr>
    </w:p>
    <w:p>
      <w:pPr>
        <w:pStyle w:val="P31"/>
        <w:framePr w:w="3839" w:h="249" w:hRule="exact" w:wrap="none" w:vAnchor="page" w:hAnchor="margin" w:x="6856" w:y="13996"/>
        <w:rPr>
          <w:rStyle w:val="C22"/>
          <w:rtl w:val="0"/>
        </w:rPr>
      </w:pPr>
      <w:r>
        <w:rPr>
          <w:rStyle w:val="C22"/>
          <w:rtl w:val="0"/>
        </w:rPr>
        <w:t>Praktické předvedení a ústní ověření</w:t>
      </w:r>
    </w:p>
    <w:p>
      <w:pPr>
        <w:pStyle w:val="P12"/>
        <w:framePr w:w="6710" w:h="376" w:hRule="exact" w:wrap="none" w:vAnchor="page" w:hAnchor="margin" w:x="45" w:y="14316"/>
        <w:rPr>
          <w:rStyle w:val="C3"/>
          <w:rtl w:val="0"/>
        </w:rPr>
      </w:pPr>
    </w:p>
    <w:p>
      <w:pPr>
        <w:pStyle w:val="P13"/>
        <w:framePr w:w="6658" w:h="249" w:hRule="exact" w:wrap="none" w:vAnchor="page" w:hAnchor="margin" w:x="71" w:y="14372"/>
        <w:rPr>
          <w:rStyle w:val="C11"/>
          <w:rtl w:val="0"/>
        </w:rPr>
      </w:pPr>
      <w:r>
        <w:rPr>
          <w:rStyle w:val="C11"/>
          <w:rtl w:val="0"/>
        </w:rPr>
        <w:t>g) Popsat vliv různých trendů v odměňování na příkladu fiktivní organizace</w:t>
      </w:r>
    </w:p>
    <w:p>
      <w:pPr>
        <w:pStyle w:val="P28"/>
        <w:framePr w:w="3921" w:h="376" w:hRule="exact" w:wrap="none" w:vAnchor="page" w:hAnchor="margin" w:x="6800" w:y="14316"/>
        <w:rPr>
          <w:rStyle w:val="C3"/>
          <w:rtl w:val="0"/>
        </w:rPr>
      </w:pPr>
    </w:p>
    <w:p>
      <w:pPr>
        <w:pStyle w:val="P29"/>
        <w:framePr w:w="3839" w:h="249" w:hRule="exact" w:wrap="none" w:vAnchor="page" w:hAnchor="margin" w:x="6856" w:y="14372"/>
        <w:rPr>
          <w:rStyle w:val="C21"/>
          <w:rtl w:val="0"/>
        </w:rPr>
      </w:pPr>
      <w:r>
        <w:rPr>
          <w:rStyle w:val="C21"/>
          <w:rtl w:val="0"/>
        </w:rPr>
        <w:t>Písemné a ústní ověření</w:t>
      </w:r>
    </w:p>
    <w:p>
      <w:pPr>
        <w:pStyle w:val="P32"/>
        <w:framePr w:w="10710" w:h="248" w:hRule="exact" w:wrap="none" w:vAnchor="page" w:hAnchor="margin" w:x="28" w:y="14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hodnocení a odměňování zaměstnanců, 15.9.2026 16:31:34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písemnou, ústní i praktickou část. Písemné a praktické ověřování se děje formou případové studie, pro písemnou zkoušku lze využít i formu testu. Ústní ověřování se děje zejména formou prezentace výsledků případové studie a je též možné zařadit i další okruhy otázek.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si autorizovaná osoba zvolí pro písemné ověřování kompetencí formu testu, platí níže uvedená pravidla pro aplikaci písemných testů. Písemný test však nemůže být jediným způsobem ověřování odborných kompetencí v rámci dílčí kvalifikace.</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tyto testy stanovuje autorizovaná osoba podle požadavků hodnoticího standardu. Přitom musí splňovat následující pravidla:</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uchazeče musí vycházet z dostatečně rozsáhlého souboru otázek, aby bylo umožněno připravit několik desítek různě sestavených testů.</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je nezbytné ověřit všechny kompetence kvalifikačního standardu. To znamená, že v případě, kdy se některé kompetence či kritéria ověřují pomocí testů, musí být splněny následující podmínky:</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se generují jednotlivé testy:</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návaznosti na pokyn o tom, která kritéria je třeba u zkoušky splnit, alespoň jednu otázku.</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je považováno 75 % správně zodpovězených otázek s tím, že pro každé kritérium musí být zodpovězeno alespoň 50 % otázek</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případových studií, které je nutno použít pro ověření uvedených kompetencí: Využívání hodnoticích systémů; Orientace v problematice hodnocení zaměstnanců; Vytváření mzdového systému; Vytváření a udržování systémů zaměstnaneckých výhod; Využívání moderních poznatků pro hodnocení a odměňování zaměstnanců.</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musí být ověřeny všechny kompetence kvalifikačního standardu. To znamená, že v případě, kdy se některé kompetence nebo kritéria ověřují pomocí losovaných otázek, musí být splněnÿ následující dvě podmínky: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(kritérium, u něhož jsou losované otázky způsobem ověření a v návaznosti na pokyn o tom, která kritéria je třeba u zkoušky splnit).</w:t>
      </w:r>
    </w:p>
    <w:p>
      <w:pPr>
        <w:pStyle w:val="P21"/>
        <w:framePr w:w="7654" w:h="331" w:hRule="exact" w:wrap="none" w:vAnchor="page" w:hAnchor="margin" w:x="28" w:y="15940"/>
        <w:rPr>
          <w:rStyle w:val="C16"/>
          <w:rtl w:val="0"/>
        </w:rPr>
      </w:pPr>
      <w:r>
        <w:rPr>
          <w:rStyle w:val="C16"/>
          <w:rtl w:val="0"/>
        </w:rPr>
        <w:t>Specialista hodnocení a odměňování zaměstnanců, 15.9.2026 16:31:34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33"/>
        <w:framePr w:w="10766" w:h="670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min. I. stupně (Bc.) se zaměřením na andragogiku, ekonomické a právní obory nebo učitelství a alespoň 5 let odborné praxe v řídících činnostech v oblasti personalistiky nebo ve funkci učitele odborných předmětů, z toho minimálně jeden rok v období posledních dvou let před podáním žádosti o udělení autorizace.</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se zaměřením na andragogiku, ekonomické obory nebo učitelství a alespoň 7 let odborné praxe v řídících činnostech v oblasti personalistiky nebo vzdělávání.</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www.mpsv.cz</w:t>
      </w:r>
    </w:p>
    <w:p>
      <w:pPr>
        <w:pStyle w:val="P33"/>
        <w:framePr w:w="10766" w:h="2999" w:hRule="exact" w:wrap="none" w:vAnchor="page" w:hAnchor="margin" w:x="0" w:y="12749"/>
        <w:rPr>
          <w:rStyle w:val="C3"/>
          <w:rtl w:val="0"/>
        </w:rPr>
      </w:pPr>
    </w:p>
    <w:p>
      <w:pPr>
        <w:pStyle w:val="P35"/>
        <w:framePr w:w="10710" w:h="340" w:hRule="exact" w:wrap="none" w:vAnchor="page" w:hAnchor="margin" w:x="28" w:y="12749"/>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3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aktuálními verzemi relevantních zákonů (zákoník práce v aktuálním znění zákona č. 262/2006 Sb. – pokud možno s komentářem; občanský zákoník; obchodní zákoník), PC event. notebookem s operačním systémem, textovým editorem, tabulkovým procesorem, programem pro tvorbu prezentací a připojením k internetu.</w:t>
      </w:r>
    </w:p>
    <w:p>
      <w:pPr>
        <w:keepNext w:val="0"/>
        <w:keepLines w:val="0"/>
        <w:framePr w:w="10766" w:h="2659" w:hRule="exact" w:wrap="none" w:vAnchor="page" w:hAnchor="margin" w:x="0" w:y="13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3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Specialista hodnocení a odměňování zaměstnanců, 15.9.2026 16:31:34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Zkoušku lze z organizačních důvodů rozdělit do dvou dnů.</w:t>
      </w:r>
    </w:p>
    <w:p>
      <w:pPr>
        <w:pStyle w:val="P21"/>
        <w:framePr w:w="7654" w:h="331" w:hRule="exact" w:wrap="none" w:vAnchor="page" w:hAnchor="margin" w:x="28" w:y="15940"/>
        <w:rPr>
          <w:rStyle w:val="C16"/>
          <w:rtl w:val="0"/>
        </w:rPr>
      </w:pPr>
      <w:r>
        <w:rPr>
          <w:rStyle w:val="C16"/>
          <w:rtl w:val="0"/>
        </w:rPr>
        <w:t>Specialista hodnocení a odměňování zaměstnanců, 15.9.2026 16:31:34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Litmedia,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JV</w:t>
      </w:r>
    </w:p>
    <w:p>
      <w:pPr>
        <w:pStyle w:val="P21"/>
        <w:framePr w:w="7654" w:h="331" w:hRule="exact" w:wrap="none" w:vAnchor="page" w:hAnchor="margin" w:x="28" w:y="15940"/>
        <w:rPr>
          <w:rStyle w:val="C16"/>
          <w:rtl w:val="0"/>
        </w:rPr>
      </w:pPr>
      <w:r>
        <w:rPr>
          <w:rStyle w:val="C16"/>
          <w:rtl w:val="0"/>
        </w:rPr>
        <w:t>Specialista hodnocení a odměňování zaměstnanců, 15.9.2026 16:31:34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