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79E2C3" Type="http://schemas.openxmlformats.org/officeDocument/2006/relationships/officeDocument" Target="/word/document.xml" /><Relationship Id="coreR6C79E2C3" Type="http://schemas.openxmlformats.org/package/2006/relationships/metadata/core-properties" Target="/docProps/core.xml" /><Relationship Id="customR6C79E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Asistent/ka, sekretář/ka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firemních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společenského chování a vystupování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legislativních pravidlech pro zacházení s osobními a důvěrnými údaji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18.9.2026 2:28:22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se základními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profesní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modelových situací, které je nutno použít pro ověření těchto kompetencí: Vedení administrativy, Komunikační dovednosti, Zásady společenského chování a vystupování. Uchazeč si vylosuje jednu modelovou situaci, kterou předvede. Autorizovaná osoba má možnost pokládat doplňující otázky. V jedné modelové situaci lze ověřit více kritérií.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uchazečů nemůže být použit pouze test, modelové situace pro ověření vyjmenovaných kompetencí jsou nezbytné.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může být realizováno v rámci řešení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18.9.2026 2:28:22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18.9.2026 2:28:22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