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4A167" Type="http://schemas.openxmlformats.org/officeDocument/2006/relationships/officeDocument" Target="/word/document.xml" /><Relationship Id="coreRF24A167" Type="http://schemas.openxmlformats.org/package/2006/relationships/metadata/core-properties" Target="/docProps/core.xml" /><Relationship Id="customRF24A1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odpověď na test, řešení případové studie a prezentaci výsledků případové studie. Písemné ověření může být provedeno formou testu. V případě, že si autorizovaná osoba zvolí pro ověřování kompetencí formu testu, platí níže uvedená pravidla pro aplikaci písemných testů. Písemný test nemůže být jediným způsobem ověřování odborných kompetencí v rámci dílčí kvalifikace.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management a administrativu, v níž byly zastoupeny: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 Plan ČR,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Management Consulting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– ViP,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Johnson Controls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Baest,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personálních služeb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UniCredit Bank Czech Republic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VZP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práce a sociálních věcí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